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A83622">
      <w:pPr>
        <w:spacing w:line="300" w:lineRule="auto"/>
        <w:jc w:val="center"/>
        <w:rPr>
          <w:b/>
          <w:bCs/>
          <w:sz w:val="28"/>
          <w:szCs w:val="28"/>
        </w:rPr>
      </w:pPr>
      <w:r>
        <w:rPr>
          <w:rFonts w:hint="eastAsia"/>
          <w:b/>
          <w:bCs/>
          <w:sz w:val="28"/>
          <w:szCs w:val="28"/>
        </w:rPr>
        <w:t>农业现代化、劳动力转移与二元经济结构</w:t>
      </w:r>
      <w:r>
        <w:commentReference w:id="0"/>
      </w:r>
    </w:p>
    <w:p w14:paraId="57CE974A">
      <w:pPr>
        <w:spacing w:before="156" w:beforeLines="50" w:after="156" w:afterLines="50" w:line="300" w:lineRule="auto"/>
        <w:ind w:firstLine="3570" w:firstLineChars="1700"/>
        <w:rPr>
          <w:rFonts w:hint="eastAsia" w:ascii="Times New Roman" w:hAnsi="Times New Roman" w:cs="Times New Roman" w:eastAsiaTheme="minorEastAsia"/>
          <w:b/>
          <w:bCs/>
          <w:szCs w:val="21"/>
          <w:lang w:val="en-US" w:eastAsia="zh-CN"/>
        </w:rPr>
      </w:pPr>
      <w:r>
        <w:rPr>
          <w:rFonts w:hint="eastAsia" w:ascii="宋体" w:hAnsi="宋体"/>
          <w:szCs w:val="21"/>
        </w:rPr>
        <w:t>史XX</w:t>
      </w:r>
      <w:r>
        <w:rPr>
          <w:rFonts w:hint="eastAsia" w:ascii="宋体" w:hAnsi="宋体"/>
          <w:color w:val="000000"/>
          <w:szCs w:val="21"/>
          <w:vertAlign w:val="superscript"/>
        </w:rPr>
        <w:t>1</w:t>
      </w:r>
      <w:r>
        <w:rPr>
          <w:rFonts w:hint="eastAsia" w:ascii="宋体" w:hAnsi="宋体"/>
          <w:szCs w:val="21"/>
        </w:rPr>
        <w:t xml:space="preserve">  李XX</w:t>
      </w:r>
      <w:r>
        <w:rPr>
          <w:rFonts w:hint="eastAsia" w:ascii="宋体" w:hAnsi="宋体"/>
          <w:szCs w:val="21"/>
          <w:vertAlign w:val="superscript"/>
          <w:lang w:val="en-US" w:eastAsia="zh-CN"/>
        </w:rPr>
        <w:t>2</w:t>
      </w:r>
      <w:r>
        <w:commentReference w:id="1"/>
      </w:r>
    </w:p>
    <w:p w14:paraId="00457940">
      <w:pPr>
        <w:numPr>
          <w:ilvl w:val="0"/>
          <w:numId w:val="1"/>
        </w:numPr>
        <w:spacing w:line="240" w:lineRule="atLeast"/>
        <w:jc w:val="center"/>
        <w:rPr>
          <w:rFonts w:hint="eastAsia" w:ascii="宋体" w:hAnsi="宋体"/>
          <w:szCs w:val="21"/>
        </w:rPr>
      </w:pPr>
      <w:r>
        <w:rPr>
          <w:rFonts w:hint="eastAsia" w:ascii="宋体" w:hAnsi="宋体"/>
          <w:szCs w:val="21"/>
          <w:lang w:val="en-US" w:eastAsia="zh-CN"/>
        </w:rPr>
        <w:t>东北师范大学</w:t>
      </w:r>
      <w:r>
        <w:rPr>
          <w:rFonts w:hint="eastAsia" w:ascii="宋体" w:hAnsi="宋体"/>
          <w:szCs w:val="21"/>
        </w:rPr>
        <w:t>，</w:t>
      </w:r>
      <w:r>
        <w:rPr>
          <w:rFonts w:hint="eastAsia" w:ascii="宋体" w:hAnsi="宋体"/>
          <w:szCs w:val="21"/>
          <w:lang w:val="en-US" w:eastAsia="zh-CN"/>
        </w:rPr>
        <w:t>吉林</w:t>
      </w:r>
      <w:r>
        <w:rPr>
          <w:rFonts w:hint="eastAsia" w:ascii="宋体" w:hAnsi="宋体"/>
          <w:szCs w:val="21"/>
        </w:rPr>
        <w:t xml:space="preserve"> </w:t>
      </w:r>
      <w:r>
        <w:rPr>
          <w:rFonts w:hint="eastAsia" w:ascii="宋体" w:hAnsi="宋体"/>
          <w:szCs w:val="21"/>
          <w:lang w:val="en-US" w:eastAsia="zh-CN"/>
        </w:rPr>
        <w:t>长春</w:t>
      </w:r>
      <w:r>
        <w:rPr>
          <w:rFonts w:hint="eastAsia" w:ascii="宋体" w:hAnsi="宋体"/>
          <w:szCs w:val="21"/>
        </w:rPr>
        <w:t>　</w:t>
      </w:r>
      <w:commentRangeStart w:id="2"/>
      <w:r>
        <w:rPr>
          <w:rFonts w:hint="eastAsia" w:ascii="宋体" w:hAnsi="宋体"/>
          <w:szCs w:val="21"/>
          <w:lang w:val="en-US" w:eastAsia="zh-CN"/>
        </w:rPr>
        <w:t>130117</w:t>
      </w:r>
      <w:commentRangeEnd w:id="2"/>
      <w:r>
        <w:commentReference w:id="2"/>
      </w:r>
      <w:r>
        <w:rPr>
          <w:rFonts w:hint="eastAsia" w:ascii="宋体" w:hAnsi="宋体"/>
          <w:szCs w:val="21"/>
        </w:rPr>
        <w:t>；2.</w:t>
      </w:r>
      <w:r>
        <w:rPr>
          <w:rFonts w:hint="eastAsia" w:ascii="宋体" w:hAnsi="宋体"/>
          <w:szCs w:val="21"/>
          <w:lang w:val="en-US" w:eastAsia="zh-CN"/>
        </w:rPr>
        <w:t>东北农业大学</w:t>
      </w:r>
      <w:r>
        <w:rPr>
          <w:rFonts w:hint="eastAsia" w:ascii="宋体" w:hAnsi="宋体"/>
          <w:szCs w:val="21"/>
        </w:rPr>
        <w:t>，黑龙江 哈尔滨　1500</w:t>
      </w:r>
      <w:r>
        <w:rPr>
          <w:rFonts w:hint="eastAsia" w:ascii="宋体" w:hAnsi="宋体"/>
          <w:szCs w:val="21"/>
          <w:lang w:val="en-US" w:eastAsia="zh-CN"/>
        </w:rPr>
        <w:t>30</w:t>
      </w:r>
    </w:p>
    <w:p w14:paraId="0A5F9F9A">
      <w:pPr>
        <w:numPr>
          <w:ilvl w:val="0"/>
          <w:numId w:val="0"/>
        </w:numPr>
        <w:spacing w:line="240" w:lineRule="atLeast"/>
        <w:jc w:val="both"/>
        <w:rPr>
          <w:rFonts w:hint="eastAsia" w:ascii="宋体" w:hAnsi="宋体"/>
          <w:szCs w:val="21"/>
        </w:rPr>
      </w:pPr>
    </w:p>
    <w:p w14:paraId="7813AAAD">
      <w:pPr>
        <w:spacing w:line="300" w:lineRule="auto"/>
        <w:ind w:firstLine="420" w:firstLineChars="200"/>
        <w:rPr>
          <w:rFonts w:hint="eastAsia"/>
        </w:rPr>
      </w:pPr>
      <w:r>
        <w:commentReference w:id="3"/>
      </w:r>
      <w:r>
        <w:rPr>
          <w:rFonts w:hint="eastAsia" w:ascii="宋体" w:hAnsi="宋体"/>
          <w:b/>
          <w:szCs w:val="21"/>
          <w:lang w:val="en-US" w:eastAsia="zh-CN"/>
        </w:rPr>
        <w:t>摘  要</w:t>
      </w:r>
      <w:r>
        <w:rPr>
          <w:rFonts w:hint="eastAsia" w:ascii="宋体" w:hAnsi="宋体"/>
          <w:b/>
          <w:szCs w:val="21"/>
          <w:lang w:eastAsia="zh-CN"/>
        </w:rPr>
        <w:t>：</w:t>
      </w:r>
      <w:r>
        <w:rPr>
          <w:rFonts w:hint="eastAsia"/>
        </w:rPr>
        <w:t>农业现代化发展带来的劳动力转移在中国城乡二元经济结构的优化过程中发挥重要作用。基于</w:t>
      </w:r>
      <w:r>
        <w:rPr>
          <w:rFonts w:ascii="Times New Roman" w:hAnsi="Times New Roman" w:cs="Times New Roman"/>
        </w:rPr>
        <w:t>2007-2018</w:t>
      </w:r>
      <w:r>
        <w:rPr>
          <w:rFonts w:hint="eastAsia"/>
        </w:rPr>
        <w:t>年中国省级面板数据，分析论证农业现代化、劳动力转移对二元经济结构的影响，并检验劳动力转移对农业现代化的中介效应。结果表明：农业现代化与劳动力转移均能显著促进二元经济结构优化，其中农业现代化既可直接作用于二元经济结构，也可通过劳动力转移间接作用于二元经济结构。进一步异质性分析发现，粮食主产区农业现代化直接作用于二元经济结构，而非粮食主产区劳动力转移对农业现代化存在部分中介效应。加快农业现代化步伐，进一步挖掘劳动力转移潜力，是二元经济发展阶段有效缓解城乡经济发展不平衡问题的关键。</w:t>
      </w:r>
    </w:p>
    <w:p w14:paraId="2953961C">
      <w:pPr>
        <w:spacing w:line="240" w:lineRule="atLeast"/>
        <w:ind w:firstLine="422" w:firstLineChars="200"/>
        <w:rPr>
          <w:rFonts w:hint="eastAsia" w:ascii="宋体" w:hAnsi="宋体"/>
          <w:szCs w:val="21"/>
        </w:rPr>
      </w:pPr>
      <w:r>
        <w:rPr>
          <w:rFonts w:hint="eastAsia" w:ascii="宋体" w:hAnsi="宋体"/>
          <w:b/>
          <w:szCs w:val="21"/>
        </w:rPr>
        <w:t>关键词</w:t>
      </w:r>
      <w:r>
        <w:commentReference w:id="4"/>
      </w:r>
      <w:r>
        <w:rPr>
          <w:rFonts w:hint="eastAsia" w:ascii="宋体" w:hAnsi="宋体"/>
          <w:b/>
          <w:szCs w:val="21"/>
          <w:lang w:eastAsia="zh-CN"/>
        </w:rPr>
        <w:t>：</w:t>
      </w:r>
      <w:r>
        <w:rPr>
          <w:rFonts w:hint="eastAsia"/>
        </w:rPr>
        <w:t>农业现代化；劳动力转移；二元经济结构；中介效应</w:t>
      </w:r>
    </w:p>
    <w:p w14:paraId="27B9058D">
      <w:pPr>
        <w:spacing w:line="300" w:lineRule="auto"/>
        <w:ind w:firstLine="422" w:firstLineChars="200"/>
        <w:rPr>
          <w:b/>
          <w:bCs/>
        </w:rPr>
      </w:pPr>
      <w:commentRangeStart w:id="5"/>
      <w:r>
        <w:rPr>
          <w:rFonts w:hint="eastAsia" w:ascii="宋体" w:hAnsi="宋体"/>
          <w:b/>
          <w:szCs w:val="21"/>
        </w:rPr>
        <w:t>中图分类号：</w:t>
      </w:r>
      <w:r>
        <w:rPr>
          <w:rFonts w:hint="eastAsia"/>
          <w:b/>
          <w:bCs/>
          <w:lang w:val="en-US" w:eastAsia="zh-CN"/>
        </w:rPr>
        <w:t xml:space="preserve">    </w:t>
      </w:r>
      <w:r>
        <w:rPr>
          <w:rFonts w:hint="eastAsia"/>
          <w:b/>
          <w:bCs/>
        </w:rPr>
        <w:t xml:space="preserve">        文献标识码：</w:t>
      </w:r>
      <w:r>
        <w:rPr>
          <w:rFonts w:hint="eastAsia" w:ascii="Times New Roman" w:hAnsi="Times New Roman" w:cs="Times New Roman"/>
          <w:b/>
          <w:bCs/>
        </w:rPr>
        <w:t xml:space="preserve">A </w:t>
      </w:r>
      <w:r>
        <w:rPr>
          <w:rFonts w:hint="eastAsia"/>
          <w:b/>
          <w:bCs/>
        </w:rPr>
        <w:t xml:space="preserve">               文章编号：</w:t>
      </w:r>
      <w:commentRangeEnd w:id="5"/>
      <w:r>
        <w:commentReference w:id="5"/>
      </w:r>
    </w:p>
    <w:p w14:paraId="751F04E2">
      <w:pPr>
        <w:spacing w:line="240" w:lineRule="atLeast"/>
        <w:ind w:firstLine="422" w:firstLineChars="200"/>
        <w:rPr>
          <w:rFonts w:hint="eastAsia" w:ascii="宋体" w:hAnsi="宋体"/>
          <w:szCs w:val="21"/>
          <w:u w:val="single"/>
        </w:rPr>
      </w:pPr>
      <w:commentRangeStart w:id="6"/>
      <w:r>
        <w:rPr>
          <w:rFonts w:hint="eastAsia"/>
          <w:b/>
          <w:bCs/>
        </w:rPr>
        <w:t>基金项目</w:t>
      </w:r>
      <w:commentRangeEnd w:id="6"/>
      <w:r>
        <w:rPr>
          <w:rFonts w:hint="eastAsia"/>
          <w:b/>
          <w:bCs/>
        </w:rPr>
        <w:commentReference w:id="6"/>
      </w:r>
      <w:r>
        <w:rPr>
          <w:rFonts w:hint="eastAsia"/>
          <w:b/>
          <w:bCs/>
          <w:lang w:eastAsia="zh-CN"/>
        </w:rPr>
        <w:t>：</w:t>
      </w:r>
      <w:r>
        <w:rPr>
          <w:rFonts w:hint="eastAsia"/>
          <w:b/>
          <w:bCs/>
        </w:rPr>
        <w:t xml:space="preserve"> </w:t>
      </w:r>
      <w:r>
        <w:rPr>
          <w:rFonts w:ascii="Times New Roman" w:hAnsi="Times New Roman" w:eastAsia="宋体" w:cs="Times New Roman"/>
          <w:szCs w:val="18"/>
        </w:rPr>
        <w:t>国家</w:t>
      </w:r>
      <w:r>
        <w:rPr>
          <w:rFonts w:hint="eastAsia" w:ascii="Times New Roman" w:hAnsi="Times New Roman" w:eastAsia="宋体" w:cs="Times New Roman"/>
          <w:szCs w:val="18"/>
        </w:rPr>
        <w:t>社会科学基金项目</w:t>
      </w:r>
      <w:r>
        <w:rPr>
          <w:rFonts w:hint="eastAsia" w:ascii="宋体" w:hAnsi="宋体"/>
          <w:szCs w:val="21"/>
        </w:rPr>
        <w:t>“基于xxxxxxx问题研究”（xxxxxx）</w:t>
      </w:r>
    </w:p>
    <w:p w14:paraId="7683C842">
      <w:pPr>
        <w:spacing w:line="240" w:lineRule="atLeast"/>
        <w:ind w:firstLine="422" w:firstLineChars="200"/>
        <w:rPr>
          <w:rFonts w:ascii="Times New Roman" w:hAnsi="Times New Roman" w:eastAsia="宋体" w:cs="Times New Roman"/>
          <w:szCs w:val="18"/>
        </w:rPr>
      </w:pPr>
      <w:commentRangeStart w:id="7"/>
      <w:r>
        <w:rPr>
          <w:rFonts w:hint="eastAsia" w:asciiTheme="minorHAnsi" w:hAnsiTheme="minorHAnsi" w:eastAsiaTheme="minorEastAsia" w:cstheme="minorBidi"/>
          <w:b/>
          <w:bCs/>
          <w:kern w:val="2"/>
          <w:sz w:val="21"/>
          <w:szCs w:val="24"/>
          <w:lang w:val="en-US" w:eastAsia="zh-CN" w:bidi="ar-SA"/>
        </w:rPr>
        <w:t>作者简介</w:t>
      </w:r>
      <w:commentRangeEnd w:id="7"/>
      <w:r>
        <w:commentReference w:id="7"/>
      </w:r>
      <w:r>
        <w:rPr>
          <w:rFonts w:hint="eastAsia" w:asciiTheme="minorHAnsi" w:hAnsiTheme="minorHAnsi" w:eastAsiaTheme="minorEastAsia" w:cstheme="minorBidi"/>
          <w:b/>
          <w:bCs/>
          <w:kern w:val="2"/>
          <w:sz w:val="21"/>
          <w:szCs w:val="24"/>
          <w:lang w:val="en-US" w:eastAsia="zh-CN" w:bidi="ar-SA"/>
        </w:rPr>
        <w:t>：</w:t>
      </w:r>
      <w:r>
        <w:rPr>
          <w:rFonts w:hint="eastAsia" w:cstheme="minorBidi"/>
          <w:b/>
          <w:bCs/>
          <w:kern w:val="2"/>
          <w:sz w:val="21"/>
          <w:szCs w:val="24"/>
          <w:lang w:val="en-US" w:eastAsia="zh-CN" w:bidi="ar-SA"/>
        </w:rPr>
        <w:t xml:space="preserve"> </w:t>
      </w:r>
      <w:r>
        <w:rPr>
          <w:rFonts w:ascii="Times New Roman" w:hAnsi="Times New Roman" w:eastAsia="宋体" w:cs="Times New Roman"/>
          <w:szCs w:val="18"/>
        </w:rPr>
        <w:t>史</w:t>
      </w:r>
      <w:r>
        <w:rPr>
          <w:rFonts w:hint="eastAsia" w:ascii="宋体" w:hAnsi="宋体"/>
          <w:szCs w:val="21"/>
        </w:rPr>
        <w:t>XX</w:t>
      </w:r>
      <w:r>
        <w:rPr>
          <w:rFonts w:hint="eastAsia" w:ascii="Times New Roman" w:hAnsi="Times New Roman" w:eastAsia="宋体" w:cs="Times New Roman"/>
          <w:szCs w:val="18"/>
        </w:rPr>
        <w:t>，</w:t>
      </w:r>
      <w:r>
        <w:rPr>
          <w:rFonts w:ascii="Times New Roman" w:hAnsi="Times New Roman" w:eastAsia="宋体" w:cs="Times New Roman"/>
          <w:szCs w:val="18"/>
        </w:rPr>
        <w:t>东北师范大学教授</w:t>
      </w:r>
      <w:r>
        <w:rPr>
          <w:rFonts w:hint="eastAsia" w:ascii="Times New Roman" w:hAnsi="Times New Roman" w:eastAsia="宋体" w:cs="Times New Roman"/>
          <w:szCs w:val="18"/>
          <w:lang w:eastAsia="zh-CN"/>
        </w:rPr>
        <w:t>，</w:t>
      </w:r>
      <w:r>
        <w:rPr>
          <w:rFonts w:ascii="Times New Roman" w:hAnsi="Times New Roman" w:eastAsia="宋体" w:cs="Times New Roman"/>
          <w:szCs w:val="18"/>
        </w:rPr>
        <w:t>博士，</w:t>
      </w:r>
      <w:r>
        <w:rPr>
          <w:rFonts w:hint="eastAsia" w:ascii="Times New Roman" w:hAnsi="Times New Roman" w:eastAsia="宋体" w:cs="Times New Roman"/>
          <w:szCs w:val="18"/>
        </w:rPr>
        <w:t>研究方向为</w:t>
      </w:r>
      <w:r>
        <w:rPr>
          <w:rFonts w:hint="eastAsia" w:ascii="宋体" w:hAnsi="宋体"/>
          <w:szCs w:val="21"/>
        </w:rPr>
        <w:t>xxxx</w:t>
      </w:r>
      <w:r>
        <w:rPr>
          <w:rFonts w:hint="eastAsia" w:ascii="Times New Roman" w:hAnsi="Times New Roman" w:eastAsia="宋体" w:cs="Times New Roman"/>
          <w:szCs w:val="18"/>
        </w:rPr>
        <w:t>。</w:t>
      </w:r>
    </w:p>
    <w:p w14:paraId="3E3B6021">
      <w:pPr>
        <w:spacing w:line="240" w:lineRule="atLeast"/>
        <w:ind w:firstLine="420" w:firstLineChars="200"/>
        <w:rPr>
          <w:rFonts w:ascii="Times New Roman" w:hAnsi="Times New Roman" w:eastAsia="宋体" w:cs="Times New Roman"/>
          <w:szCs w:val="18"/>
        </w:rPr>
      </w:pPr>
      <w:r>
        <w:rPr>
          <w:rFonts w:hint="eastAsia" w:ascii="Times New Roman" w:hAnsi="Times New Roman" w:eastAsia="宋体" w:cs="Times New Roman"/>
          <w:szCs w:val="18"/>
        </w:rPr>
        <w:t xml:space="preserve">            </w:t>
      </w:r>
    </w:p>
    <w:p w14:paraId="128C0A60">
      <w:pPr>
        <w:spacing w:line="300" w:lineRule="auto"/>
        <w:ind w:firstLine="482" w:firstLineChars="200"/>
        <w:jc w:val="both"/>
        <w:rPr>
          <w:b/>
          <w:bCs/>
        </w:rPr>
      </w:pPr>
      <w:commentRangeStart w:id="8"/>
      <w:r>
        <w:rPr>
          <w:rFonts w:hint="eastAsia"/>
          <w:b/>
          <w:bCs/>
          <w:sz w:val="24"/>
        </w:rPr>
        <w:t>引言</w:t>
      </w:r>
      <w:commentRangeEnd w:id="8"/>
      <w:r>
        <w:commentReference w:id="8"/>
      </w:r>
    </w:p>
    <w:p w14:paraId="5D8674E4">
      <w:pPr>
        <w:pStyle w:val="4"/>
        <w:spacing w:line="300" w:lineRule="auto"/>
        <w:ind w:firstLine="420" w:firstLineChars="200"/>
        <w:jc w:val="both"/>
      </w:pPr>
      <w:r>
        <w:commentReference w:id="9"/>
      </w:r>
      <w:r>
        <w:rPr>
          <w:rFonts w:hint="eastAsia"/>
        </w:rPr>
        <w:t>改革开放以来，中国经济总量与国际地位逐渐提高，并于</w:t>
      </w:r>
      <w:r>
        <w:rPr>
          <w:rFonts w:ascii="Times New Roman" w:hAnsi="Times New Roman" w:cs="Times New Roman"/>
        </w:rPr>
        <w:t>2010年成为世界第二大经济体。随着中国经济发展步入新常态，</w:t>
      </w:r>
      <w:r>
        <w:rPr>
          <w:rFonts w:hint="eastAsia"/>
        </w:rPr>
        <w:t>经济增长速度逐步</w:t>
      </w:r>
      <w:r>
        <w:t>从高速增长向中</w:t>
      </w:r>
      <w:r>
        <w:rPr>
          <w:rFonts w:hint="eastAsia"/>
        </w:rPr>
        <w:t>高</w:t>
      </w:r>
      <w:r>
        <w:t>速增长转</w:t>
      </w:r>
      <w:r>
        <w:rPr>
          <w:rFonts w:hint="eastAsia"/>
        </w:rPr>
        <w:t>变</w:t>
      </w:r>
      <w:r>
        <w:rPr>
          <w:rFonts w:ascii="Times New Roman" w:hAnsi="Times New Roman" w:cs="Times New Roman"/>
        </w:rPr>
        <w:t>，</w:t>
      </w:r>
      <w:r>
        <w:rPr>
          <w:rFonts w:hint="eastAsia"/>
        </w:rPr>
        <w:t>十九届四中全会也明确提出“经济高质量发展”的要求</w:t>
      </w:r>
      <w:commentRangeStart w:id="10"/>
      <w:r>
        <w:rPr>
          <w:rStyle w:val="16"/>
          <w:rFonts w:hint="eastAsia"/>
        </w:rPr>
        <w:footnoteReference w:id="0"/>
      </w:r>
      <w:commentRangeEnd w:id="10"/>
      <w:r>
        <w:commentReference w:id="10"/>
      </w:r>
      <w:r>
        <w:rPr>
          <w:rFonts w:hint="eastAsia"/>
        </w:rPr>
        <w:t>，中国</w:t>
      </w:r>
      <w:r>
        <w:rPr>
          <w:rFonts w:ascii="Times New Roman" w:hAnsi="Times New Roman" w:cs="Times New Roman"/>
        </w:rPr>
        <w:t>经济发展逐渐由</w:t>
      </w:r>
      <w:r>
        <w:rPr>
          <w:rFonts w:hint="eastAsia"/>
        </w:rPr>
        <w:t>增长型向结构型转变，解决经济发展的结构性问题被提上日程。在诸多结构性问题中，中国城乡二元结构是制约经济发展的关键问题，其中城乡二元经济结构又是制约城乡一体化发展的主要障碍。中国长期处于典型二元经济发展阶段，二元经济发展本质是经济结构转换</w:t>
      </w:r>
      <w:commentRangeStart w:id="11"/>
      <w:r>
        <w:rPr>
          <w:vertAlign w:val="superscript"/>
        </w:rPr>
        <w:t>[1]</w:t>
      </w:r>
      <w:commentRangeEnd w:id="11"/>
      <w:r>
        <w:commentReference w:id="11"/>
      </w:r>
      <w:r>
        <w:rPr>
          <w:rFonts w:hint="eastAsia"/>
        </w:rPr>
        <w:t>，如何转换二元经济结构，实现城乡一体化发展是中国经济社会发展转型时期面临的一个严峻挑战，也是实现经济协调发展和高质量发展的内在要求。</w:t>
      </w:r>
    </w:p>
    <w:p w14:paraId="1754AC7F">
      <w:pPr>
        <w:pStyle w:val="4"/>
        <w:spacing w:line="300" w:lineRule="auto"/>
        <w:ind w:firstLine="420" w:firstLineChars="200"/>
        <w:jc w:val="both"/>
        <w:rPr>
          <w:rFonts w:ascii="Times New Roman" w:hAnsi="Times New Roman" w:eastAsia="宋体" w:cs="Times New Roman"/>
          <w:color w:val="242021"/>
          <w:szCs w:val="21"/>
        </w:rPr>
      </w:pPr>
      <w:r>
        <w:rPr>
          <w:rFonts w:hint="eastAsia"/>
        </w:rPr>
        <w:t>农业劳动力转移作为中国改革开放以来经济增长的重要源泉，在城乡二元经济结构转换过程中发挥着重要作用。中国</w:t>
      </w:r>
      <w:r>
        <w:rPr>
          <w:rFonts w:hint="eastAsia" w:ascii="Times New Roman" w:hAnsi="Times New Roman" w:cs="Times New Roman"/>
        </w:rPr>
        <w:t>2010年、2015年和2019年农民工总量分别为24223、27747及29077万人，分别比上年增长5.4%、1.3%及0.8%</w:t>
      </w:r>
      <w:r>
        <w:rPr>
          <w:rStyle w:val="16"/>
          <w:rFonts w:hint="eastAsia"/>
        </w:rPr>
        <w:footnoteReference w:id="1"/>
      </w:r>
      <w:r>
        <w:rPr>
          <w:rFonts w:hint="eastAsia"/>
        </w:rPr>
        <w:t>，虽然农业劳动力转移增速放缓，但规模依然庞大。大量剩余劳动力从农业部门转移出来，保证了二三产业劳动力供给，为经济发展带来巨大人口红利。但随着农业剩余劳动力不断转移，中国人口红利逐渐衰减，根据人口年龄结构变化、劳动力市场供求变化、普通劳动者工资上涨和民工荒等现象，很多学者做出中国“刘易斯转折点”到来的判断</w:t>
      </w:r>
      <w:r>
        <w:rPr>
          <w:vertAlign w:val="superscript"/>
        </w:rPr>
        <w:t>[2]</w:t>
      </w:r>
      <w:r>
        <w:rPr>
          <w:rFonts w:hint="eastAsia"/>
        </w:rPr>
        <w:t>。刘易斯转折点的到来并不意味着中国农业剩余劳动力已经吸纳殆尽，无论是与国际比较，还是从农业与非农产业劳动生产率是否趋同来看，都表明中国的“库兹涅茨过程”尚未完成，仍有较大生产率差距和农业劳动力转移潜力</w:t>
      </w:r>
      <w:r>
        <w:rPr>
          <w:vertAlign w:val="superscript"/>
        </w:rPr>
        <w:t>[3]</w:t>
      </w:r>
      <w:r>
        <w:rPr>
          <w:rFonts w:hint="eastAsia"/>
        </w:rPr>
        <w:t>。为促使农业剩余劳动力继续转移，</w:t>
      </w:r>
      <w:r>
        <w:rPr>
          <w:rFonts w:hint="eastAsia" w:ascii="Times New Roman" w:hAnsi="Times New Roman" w:eastAsia="宋体" w:cs="Times New Roman"/>
          <w:color w:val="242021"/>
          <w:szCs w:val="21"/>
        </w:rPr>
        <w:t>自十八届三中全会以来，</w:t>
      </w:r>
      <w:r>
        <w:rPr>
          <w:rFonts w:hint="eastAsia"/>
        </w:rPr>
        <w:t>从影响农业劳动力转移的拉力因素</w:t>
      </w:r>
      <w:r>
        <w:rPr>
          <w:rFonts w:hint="eastAsia" w:ascii="Times New Roman" w:hAnsi="Times New Roman" w:eastAsia="宋体" w:cs="Times New Roman"/>
          <w:color w:val="242021"/>
          <w:szCs w:val="21"/>
        </w:rPr>
        <w:t>出发，国家逐渐实施新型城镇化建设、户籍制度改革、财政资金扶持等各项措施。众多学者也从城市工业技术进步、城乡收入差距、就业机会、子女教育、社会保障和公共服务水平差异等角度对影响劳动力转移的城市拉力因素进行分析</w:t>
      </w:r>
      <w:r>
        <w:rPr>
          <w:rFonts w:ascii="Times New Roman" w:hAnsi="Times New Roman" w:eastAsia="宋体" w:cs="Times New Roman"/>
          <w:color w:val="242021"/>
          <w:szCs w:val="21"/>
          <w:vertAlign w:val="superscript"/>
        </w:rPr>
        <w:t>[4</w:t>
      </w:r>
      <w:r>
        <w:rPr>
          <w:rFonts w:hint="eastAsia" w:ascii="Times New Roman" w:hAnsi="Times New Roman" w:eastAsia="宋体" w:cs="Times New Roman"/>
          <w:color w:val="242021"/>
          <w:szCs w:val="21"/>
          <w:vertAlign w:val="superscript"/>
        </w:rPr>
        <w:t>—</w:t>
      </w:r>
      <w:r>
        <w:rPr>
          <w:rFonts w:ascii="Times New Roman" w:hAnsi="Times New Roman" w:eastAsia="宋体" w:cs="Times New Roman"/>
          <w:color w:val="242021"/>
          <w:szCs w:val="21"/>
          <w:vertAlign w:val="superscript"/>
        </w:rPr>
        <w:t>5]</w:t>
      </w:r>
      <w:r>
        <w:rPr>
          <w:rFonts w:hint="eastAsia" w:ascii="Times New Roman" w:hAnsi="Times New Roman" w:eastAsia="宋体" w:cs="Times New Roman"/>
          <w:color w:val="242021"/>
          <w:szCs w:val="21"/>
        </w:rPr>
        <w:t>，也有学者从农业机械化、农业补贴、土地流转等角度探讨影响劳动力转移的农村推力因素</w:t>
      </w:r>
      <w:r>
        <w:rPr>
          <w:rFonts w:ascii="Times New Roman" w:hAnsi="Times New Roman" w:eastAsia="宋体" w:cs="Times New Roman"/>
          <w:color w:val="242021"/>
          <w:szCs w:val="21"/>
          <w:vertAlign w:val="superscript"/>
        </w:rPr>
        <w:t>[6]</w:t>
      </w:r>
      <w:r>
        <w:rPr>
          <w:rFonts w:hint="eastAsia" w:ascii="Times New Roman" w:hAnsi="Times New Roman" w:eastAsia="宋体" w:cs="Times New Roman"/>
          <w:color w:val="242021"/>
          <w:szCs w:val="21"/>
        </w:rPr>
        <w:t>。而有关二元经济结构的研究主要侧重于其与劳动收入、金融发展、城乡收入差距等变量的关系</w:t>
      </w:r>
      <w:r>
        <w:rPr>
          <w:rFonts w:ascii="Times New Roman" w:hAnsi="Times New Roman" w:eastAsia="宋体" w:cs="Times New Roman"/>
          <w:color w:val="242021"/>
          <w:szCs w:val="21"/>
          <w:vertAlign w:val="superscript"/>
        </w:rPr>
        <w:t>[7]</w:t>
      </w:r>
      <w:r>
        <w:rPr>
          <w:rFonts w:hint="eastAsia" w:ascii="Times New Roman" w:hAnsi="Times New Roman" w:eastAsia="宋体" w:cs="Times New Roman"/>
          <w:color w:val="242021"/>
          <w:szCs w:val="21"/>
        </w:rPr>
        <w:t>。</w:t>
      </w:r>
    </w:p>
    <w:p w14:paraId="1C4DE837">
      <w:pPr>
        <w:pStyle w:val="4"/>
        <w:spacing w:line="300" w:lineRule="auto"/>
        <w:ind w:firstLine="420" w:firstLineChars="200"/>
        <w:jc w:val="both"/>
        <w:rPr>
          <w:rFonts w:ascii="Times New Roman" w:hAnsi="Times New Roman" w:eastAsia="宋体" w:cs="Times New Roman"/>
          <w:color w:val="242021"/>
          <w:szCs w:val="21"/>
        </w:rPr>
      </w:pPr>
      <w:r>
        <w:rPr>
          <w:rFonts w:hint="eastAsia" w:ascii="Times New Roman" w:hAnsi="Times New Roman" w:eastAsia="宋体" w:cs="Times New Roman"/>
          <w:color w:val="242021"/>
          <w:szCs w:val="21"/>
        </w:rPr>
        <w:t>与现有文献相比，本文从劳动力转移视角考察农业现代化对二元经济结构的影响，系统梳理农业现代化、劳动力转移与二元经济结构三者之间的逻辑关系，根据农业生产规模差异将样本分为粮食主产区和非粮食主产区进行异质性分析，并探究劳动力转移的中介效应在两者之间存在差异的原因，为我国不同省份优化二元经济结构提供差异化政策参考</w:t>
      </w:r>
      <w:r>
        <w:commentReference w:id="12"/>
      </w:r>
      <w:r>
        <w:rPr>
          <w:rFonts w:hint="eastAsia" w:ascii="Times New Roman" w:hAnsi="Times New Roman" w:eastAsia="宋体" w:cs="Times New Roman"/>
          <w:color w:val="242021"/>
          <w:szCs w:val="21"/>
        </w:rPr>
        <w:t>。</w:t>
      </w:r>
    </w:p>
    <w:p w14:paraId="2F57AFFC">
      <w:pPr>
        <w:spacing w:line="300" w:lineRule="auto"/>
        <w:ind w:firstLine="482" w:firstLineChars="200"/>
        <w:jc w:val="both"/>
        <w:rPr>
          <w:rFonts w:hint="eastAsia" w:eastAsiaTheme="minorEastAsia"/>
          <w:b/>
          <w:bCs/>
          <w:sz w:val="24"/>
          <w:lang w:val="en-US" w:eastAsia="zh-CN"/>
        </w:rPr>
      </w:pPr>
      <w:commentRangeStart w:id="13"/>
      <w:r>
        <w:rPr>
          <w:rFonts w:hint="eastAsia"/>
          <w:b/>
          <w:bCs/>
          <w:sz w:val="24"/>
          <w:lang w:val="en-US" w:eastAsia="zh-CN"/>
        </w:rPr>
        <w:t>一</w:t>
      </w:r>
      <w:commentRangeEnd w:id="13"/>
      <w:r>
        <w:commentReference w:id="13"/>
      </w:r>
      <w:r>
        <w:rPr>
          <w:rFonts w:hint="eastAsia"/>
          <w:b/>
          <w:bCs/>
          <w:sz w:val="24"/>
        </w:rPr>
        <w:t>、研究假说</w:t>
      </w:r>
      <w:r>
        <w:rPr>
          <w:rFonts w:hint="eastAsia"/>
          <w:b/>
          <w:bCs/>
          <w:sz w:val="24"/>
          <w:lang w:val="en-US" w:eastAsia="zh-CN"/>
        </w:rPr>
        <w:t>提出</w:t>
      </w:r>
    </w:p>
    <w:p w14:paraId="5E76C707">
      <w:pPr>
        <w:spacing w:line="300" w:lineRule="auto"/>
        <w:ind w:firstLine="420" w:firstLineChars="200"/>
        <w:rPr>
          <w:szCs w:val="21"/>
        </w:rPr>
      </w:pPr>
      <w:r>
        <w:rPr>
          <w:rFonts w:hint="eastAsia"/>
          <w:szCs w:val="21"/>
        </w:rPr>
        <w:t>在分析劳动力转移时，人口流动的相关理论是理论基础。从阐述人口流动原因的推-拉理论，</w:t>
      </w:r>
      <w:r>
        <w:rPr>
          <w:rFonts w:hint="eastAsia" w:ascii="Times New Roman" w:hAnsi="Times New Roman" w:cs="Times New Roman"/>
          <w:szCs w:val="21"/>
        </w:rPr>
        <w:t>到刘易斯</w:t>
      </w:r>
      <w:r>
        <w:rPr>
          <w:rFonts w:hint="eastAsia" w:ascii="Times New Roman" w:hAnsi="Times New Roman" w:eastAsia="宋体" w:cs="Times New Roman"/>
          <w:color w:val="242021"/>
          <w:szCs w:val="21"/>
        </w:rPr>
        <w:t>的城乡二元人口流动理论及</w:t>
      </w:r>
      <w:r>
        <w:rPr>
          <w:rFonts w:ascii="Times New Roman" w:hAnsi="Times New Roman" w:eastAsia="宋体" w:cs="Times New Roman"/>
          <w:color w:val="242021"/>
          <w:szCs w:val="21"/>
        </w:rPr>
        <w:t>拉尼斯</w:t>
      </w:r>
      <w:r>
        <w:rPr>
          <w:rFonts w:hint="eastAsia" w:ascii="Times New Roman" w:hAnsi="Times New Roman" w:eastAsia="宋体" w:cs="Times New Roman"/>
          <w:color w:val="242021"/>
          <w:szCs w:val="21"/>
        </w:rPr>
        <w:t>-</w:t>
      </w:r>
      <w:r>
        <w:rPr>
          <w:rFonts w:ascii="Times New Roman" w:hAnsi="Times New Roman" w:eastAsia="宋体" w:cs="Times New Roman"/>
          <w:color w:val="242021"/>
          <w:szCs w:val="21"/>
        </w:rPr>
        <w:t>费景汉理论</w:t>
      </w:r>
      <w:r>
        <w:rPr>
          <w:rFonts w:hint="eastAsia" w:ascii="Times New Roman" w:hAnsi="Times New Roman" w:cs="Times New Roman"/>
          <w:szCs w:val="21"/>
        </w:rPr>
        <w:t>都对人口流动理论进行了丰富和发展。其中，在分析农业劳动力向非农部门转移时，刘易斯模型及在此基础上进行丰富的二元经济理论被认为是目前最有说服力的理论基础。刘易斯假设一个国家只存在高劳动生产率的工业部门和低劳动生产率的农业部门，在两部门工资水平存在差异的前提下，</w:t>
      </w:r>
      <w:r>
        <w:rPr>
          <w:rFonts w:ascii="Times New Roman" w:hAnsi="Times New Roman" w:eastAsia="宋体" w:cs="Times New Roman"/>
          <w:color w:val="242021"/>
          <w:szCs w:val="21"/>
        </w:rPr>
        <w:t>农村剩余劳动力会向城市工业部门</w:t>
      </w:r>
      <w:r>
        <w:rPr>
          <w:rFonts w:hint="eastAsia" w:ascii="Times New Roman" w:hAnsi="Times New Roman" w:eastAsia="宋体" w:cs="Times New Roman"/>
          <w:color w:val="242021"/>
          <w:szCs w:val="21"/>
        </w:rPr>
        <w:t>转移。</w:t>
      </w:r>
      <w:r>
        <w:rPr>
          <w:rFonts w:ascii="Times New Roman" w:hAnsi="Times New Roman" w:cs="Times New Roman"/>
          <w:szCs w:val="21"/>
        </w:rPr>
        <w:t>拉尼斯和费景汉</w:t>
      </w:r>
      <w:r>
        <w:rPr>
          <w:rFonts w:hint="eastAsia" w:ascii="Times New Roman" w:hAnsi="Times New Roman" w:cs="Times New Roman"/>
          <w:szCs w:val="21"/>
        </w:rPr>
        <w:t>在刘易斯模型的基础上</w:t>
      </w:r>
      <w:r>
        <w:rPr>
          <w:rFonts w:ascii="Times New Roman" w:hAnsi="Times New Roman" w:cs="Times New Roman"/>
          <w:szCs w:val="21"/>
        </w:rPr>
        <w:t>，强调</w:t>
      </w:r>
      <w:r>
        <w:rPr>
          <w:rFonts w:hint="eastAsia" w:ascii="Times New Roman" w:hAnsi="Times New Roman" w:cs="Times New Roman"/>
          <w:szCs w:val="21"/>
        </w:rPr>
        <w:t>农业劳动生产率的重要性</w:t>
      </w:r>
      <w:r>
        <w:rPr>
          <w:rFonts w:ascii="Times New Roman" w:hAnsi="Times New Roman" w:cs="Times New Roman"/>
          <w:szCs w:val="21"/>
        </w:rPr>
        <w:t>，</w:t>
      </w:r>
      <w:r>
        <w:rPr>
          <w:rFonts w:hint="eastAsia" w:ascii="Times New Roman" w:hAnsi="Times New Roman" w:cs="Times New Roman"/>
          <w:szCs w:val="21"/>
        </w:rPr>
        <w:t>并认为</w:t>
      </w:r>
      <w:r>
        <w:rPr>
          <w:rFonts w:ascii="Times New Roman" w:hAnsi="Times New Roman" w:cs="Times New Roman"/>
          <w:szCs w:val="21"/>
        </w:rPr>
        <w:t>农业劳动生产率提高</w:t>
      </w:r>
      <w:r>
        <w:rPr>
          <w:rFonts w:hint="eastAsia" w:ascii="Times New Roman" w:hAnsi="Times New Roman" w:cs="Times New Roman"/>
          <w:szCs w:val="21"/>
        </w:rPr>
        <w:t>是农业</w:t>
      </w:r>
      <w:r>
        <w:rPr>
          <w:rFonts w:ascii="Times New Roman" w:hAnsi="Times New Roman" w:cs="Times New Roman"/>
          <w:szCs w:val="21"/>
        </w:rPr>
        <w:t>剩余劳动力转移的前提</w:t>
      </w:r>
      <w:r>
        <w:rPr>
          <w:rFonts w:hint="eastAsia" w:ascii="Times New Roman" w:hAnsi="Times New Roman" w:cs="Times New Roman"/>
          <w:szCs w:val="21"/>
        </w:rPr>
        <w:t>。以现有二元经济理论为基础，国内外学者对农业劳动力转移问题进行了大量研究，其中有关农业劳动生产率对劳动力转移的影响研究最为丰富。学者认为</w:t>
      </w:r>
      <w:r>
        <w:rPr>
          <w:rFonts w:hint="eastAsia"/>
          <w:szCs w:val="21"/>
        </w:rPr>
        <w:t>农业生产率提高是农业技术进步、农业机械化的必然结果，农业技术进步作为农业剩余劳动力转移的关键推力，一方面有效缩短了农业单位劳动时间，增加了农业产量</w:t>
      </w:r>
      <w:r>
        <w:rPr>
          <w:szCs w:val="21"/>
          <w:vertAlign w:val="superscript"/>
        </w:rPr>
        <w:t>[8]</w:t>
      </w:r>
      <w:r>
        <w:rPr>
          <w:rFonts w:hint="eastAsia"/>
          <w:szCs w:val="21"/>
          <w:vertAlign w:val="baseline"/>
          <w:lang w:eastAsia="zh-CN"/>
        </w:rPr>
        <w:t>；</w:t>
      </w:r>
      <w:r>
        <w:rPr>
          <w:rFonts w:hint="eastAsia"/>
          <w:szCs w:val="21"/>
        </w:rPr>
        <w:t>另一方面，劳动力价格刚性使农业技术与劳动力相对价格发生变化，技术进步有效降低了农业生产劳动力成本</w:t>
      </w:r>
      <w:r>
        <w:rPr>
          <w:szCs w:val="21"/>
          <w:vertAlign w:val="superscript"/>
        </w:rPr>
        <w:t>[9]</w:t>
      </w:r>
      <w:r>
        <w:rPr>
          <w:rFonts w:hint="eastAsia"/>
          <w:szCs w:val="21"/>
        </w:rPr>
        <w:t>。农业产量增加及成本降低不仅能扩大农业生产规模和范围，增加与农业相关产业的就业机会，还能进一步促进剩余劳动力向非农部门转移</w:t>
      </w:r>
      <w:r>
        <w:rPr>
          <w:szCs w:val="21"/>
          <w:vertAlign w:val="superscript"/>
        </w:rPr>
        <w:t>[10]</w:t>
      </w:r>
      <w:r>
        <w:rPr>
          <w:rFonts w:hint="eastAsia"/>
          <w:szCs w:val="21"/>
        </w:rPr>
        <w:t>。有研究认为农业劳动力转移前提是农业技术进步，农业劳动力转移速度与农业技术进步速度成正比</w:t>
      </w:r>
      <w:r>
        <w:rPr>
          <w:szCs w:val="21"/>
          <w:vertAlign w:val="superscript"/>
        </w:rPr>
        <w:t>[11]</w:t>
      </w:r>
      <w:r>
        <w:rPr>
          <w:rFonts w:hint="eastAsia" w:ascii="Times New Roman" w:hAnsi="Times New Roman" w:eastAsia="宋体" w:cs="Times New Roman"/>
          <w:color w:val="242021"/>
          <w:szCs w:val="21"/>
        </w:rPr>
        <w:t>。</w:t>
      </w:r>
      <w:r>
        <w:rPr>
          <w:rFonts w:hint="eastAsia"/>
          <w:szCs w:val="21"/>
        </w:rPr>
        <w:t>基于以上分析，提出本文研究假说</w:t>
      </w:r>
      <w:r>
        <w:rPr>
          <w:rFonts w:ascii="Times New Roman" w:hAnsi="Times New Roman" w:cs="Times New Roman"/>
          <w:szCs w:val="21"/>
        </w:rPr>
        <w:t>H1</w:t>
      </w:r>
      <w:r>
        <w:rPr>
          <w:rFonts w:hint="eastAsia" w:ascii="Times New Roman" w:hAnsi="Times New Roman" w:cs="Times New Roman"/>
          <w:szCs w:val="21"/>
        </w:rPr>
        <w:t>：农</w:t>
      </w:r>
      <w:r>
        <w:rPr>
          <w:rFonts w:hint="eastAsia"/>
          <w:szCs w:val="21"/>
        </w:rPr>
        <w:t>业现代化能够促进农业劳动力转移。</w:t>
      </w:r>
    </w:p>
    <w:p w14:paraId="5701D621">
      <w:pPr>
        <w:spacing w:line="300" w:lineRule="auto"/>
        <w:ind w:firstLine="420" w:firstLineChars="200"/>
        <w:rPr>
          <w:rFonts w:ascii="Times New Roman" w:hAnsi="Times New Roman" w:cs="Times New Roman"/>
          <w:szCs w:val="21"/>
        </w:rPr>
      </w:pPr>
      <w:r>
        <w:rPr>
          <w:rFonts w:hint="eastAsia"/>
          <w:szCs w:val="21"/>
        </w:rPr>
        <w:t>中国作为一个具有典型城乡二元结构特征的发展中国家，农业劳动力转移规模在</w:t>
      </w:r>
      <w:r>
        <w:rPr>
          <w:rFonts w:ascii="Times New Roman" w:hAnsi="Times New Roman" w:cs="Times New Roman"/>
          <w:szCs w:val="21"/>
        </w:rPr>
        <w:t>2019</w:t>
      </w:r>
      <w:r>
        <w:rPr>
          <w:rFonts w:hint="eastAsia"/>
          <w:szCs w:val="21"/>
        </w:rPr>
        <w:t>年达到</w:t>
      </w:r>
      <w:r>
        <w:rPr>
          <w:rFonts w:hint="eastAsia" w:ascii="Times New Roman" w:hAnsi="Times New Roman" w:cs="Times New Roman"/>
          <w:szCs w:val="21"/>
        </w:rPr>
        <w:t>29077</w:t>
      </w:r>
      <w:r>
        <w:rPr>
          <w:rFonts w:hint="eastAsia" w:ascii="Times New Roman" w:hAnsi="Times New Roman" w:cs="Times New Roman"/>
        </w:rPr>
        <w:t>万人，</w:t>
      </w:r>
      <w:r>
        <w:rPr>
          <w:rFonts w:hint="eastAsia"/>
          <w:szCs w:val="21"/>
        </w:rPr>
        <w:t>相关研究主要集中体现在以下方面。第一，农业劳动力转移有利于缩小城乡收入差距。一方面，农业劳动力的转移会通过提高农业部门边际劳动生产率进而提高农村居民收入，另一方面，在劳动力从农业部门向非农部门的持续转移过程中，随着非农部门资本不断积累及农民工群体收入提高，农村居民储蓄会不断增加</w:t>
      </w:r>
      <w:r>
        <w:rPr>
          <w:szCs w:val="21"/>
          <w:vertAlign w:val="superscript"/>
        </w:rPr>
        <w:t>[12</w:t>
      </w:r>
      <w:r>
        <w:rPr>
          <w:rFonts w:hint="eastAsia"/>
          <w:szCs w:val="21"/>
          <w:vertAlign w:val="superscript"/>
        </w:rPr>
        <w:t>—</w:t>
      </w:r>
      <w:r>
        <w:rPr>
          <w:szCs w:val="21"/>
          <w:vertAlign w:val="superscript"/>
        </w:rPr>
        <w:t>13]</w:t>
      </w:r>
      <w:r>
        <w:rPr>
          <w:rFonts w:hint="eastAsia"/>
          <w:szCs w:val="21"/>
        </w:rPr>
        <w:t>。随着农村居民收入和储蓄提高，劳动力转移对于改善城乡收入差距的作用逐渐显现。</w:t>
      </w:r>
      <w:r>
        <w:rPr>
          <w:rFonts w:hint="eastAsia" w:ascii="Times New Roman" w:hAnsi="Times New Roman" w:eastAsia="Times New Roman"/>
          <w:szCs w:val="21"/>
        </w:rPr>
        <w:t>第二，农业劳动力转移有利于农地流转，实现农业规模化经营。</w:t>
      </w:r>
      <w:r>
        <w:rPr>
          <w:rFonts w:hint="eastAsia"/>
          <w:szCs w:val="21"/>
        </w:rPr>
        <w:t>农业劳动力向非农部门转移可以通过农户土地流出与流入差异化决策，促进农地流转市场的发展，在一定程度上可以加快土地流转，促进农业规模化经营</w:t>
      </w:r>
      <w:r>
        <w:rPr>
          <w:szCs w:val="21"/>
          <w:vertAlign w:val="superscript"/>
        </w:rPr>
        <w:t>[</w:t>
      </w:r>
      <w:r>
        <w:rPr>
          <w:rFonts w:hint="eastAsia"/>
          <w:szCs w:val="21"/>
          <w:vertAlign w:val="superscript"/>
          <w:lang w:val="en-US" w:eastAsia="zh-CN"/>
        </w:rPr>
        <w:t>14</w:t>
      </w:r>
      <w:r>
        <w:rPr>
          <w:szCs w:val="21"/>
          <w:vertAlign w:val="superscript"/>
        </w:rPr>
        <w:t>]</w:t>
      </w:r>
      <w:r>
        <w:rPr>
          <w:rFonts w:hint="eastAsia" w:ascii="Times New Roman" w:hAnsi="Times New Roman" w:eastAsia="宋体" w:cs="Times New Roman"/>
          <w:color w:val="242021"/>
          <w:szCs w:val="21"/>
        </w:rPr>
        <w:t>。</w:t>
      </w:r>
      <w:r>
        <w:rPr>
          <w:rFonts w:hint="eastAsia" w:ascii="Times New Roman" w:hAnsi="Times New Roman" w:eastAsia="宋体"/>
          <w:szCs w:val="21"/>
        </w:rPr>
        <w:t>最后，农业劳动力转移有利于实现工农业联动发展，加快城乡一体化进程。一方面，农业现代化不仅能释放更多的农业剩余劳动力进入非农部门，为非农部门提供更多劳动力，同时生产率提高的农业部门还能</w:t>
      </w:r>
      <w:r>
        <w:rPr>
          <w:rFonts w:hint="eastAsia"/>
          <w:szCs w:val="21"/>
        </w:rPr>
        <w:t>为非农部门供应更多的原材料，提高非农部门的生产效率，从而实现农业部门与非农部门联动发展</w:t>
      </w:r>
      <w:r>
        <w:rPr>
          <w:szCs w:val="21"/>
          <w:vertAlign w:val="superscript"/>
        </w:rPr>
        <w:t>[</w:t>
      </w:r>
      <w:r>
        <w:rPr>
          <w:rFonts w:hint="eastAsia"/>
          <w:szCs w:val="21"/>
          <w:vertAlign w:val="superscript"/>
          <w:lang w:val="en-US" w:eastAsia="zh-CN"/>
        </w:rPr>
        <w:t>15</w:t>
      </w:r>
      <w:r>
        <w:rPr>
          <w:szCs w:val="21"/>
          <w:vertAlign w:val="superscript"/>
        </w:rPr>
        <w:t>]</w:t>
      </w:r>
      <w:r>
        <w:rPr>
          <w:rFonts w:hint="eastAsia" w:ascii="Times New Roman" w:hAnsi="Times New Roman" w:eastAsia="宋体" w:cs="Times New Roman"/>
          <w:color w:val="242021"/>
          <w:szCs w:val="21"/>
        </w:rPr>
        <w:t>；另一方面，</w:t>
      </w:r>
      <w:r>
        <w:rPr>
          <w:rFonts w:hint="eastAsia"/>
          <w:szCs w:val="21"/>
        </w:rPr>
        <w:t>劳动力在农业和非农产业之间的转移，不仅有利于劳动力资源在三次产业中的合理配置，实现社会人力资源的优化配置，促进三次产业的协同发展，还能统筹城乡经济发展，加快城乡经济一体化进程</w:t>
      </w:r>
      <w:r>
        <w:rPr>
          <w:rFonts w:hint="eastAsia" w:ascii="Times New Roman" w:hAnsi="Times New Roman" w:eastAsia="宋体" w:cs="Times New Roman"/>
          <w:color w:val="242021"/>
          <w:szCs w:val="21"/>
        </w:rPr>
        <w:t>。可见，二元经济结构转化实质上是一个社会分工的过程，体现为工业化及以此为基础的服务业的兴起和城市化水平的提高，是一个二元经济结构在产业和空间上的转化趋同过程</w:t>
      </w:r>
      <w:r>
        <w:rPr>
          <w:rFonts w:ascii="Times New Roman" w:hAnsi="Times New Roman" w:eastAsia="宋体" w:cs="Times New Roman"/>
          <w:color w:val="242021"/>
          <w:szCs w:val="21"/>
          <w:vertAlign w:val="superscript"/>
        </w:rPr>
        <w:t>[</w:t>
      </w:r>
      <w:r>
        <w:rPr>
          <w:rFonts w:hint="eastAsia" w:ascii="Times New Roman" w:hAnsi="Times New Roman" w:eastAsia="宋体" w:cs="Times New Roman"/>
          <w:color w:val="242021"/>
          <w:szCs w:val="21"/>
          <w:vertAlign w:val="superscript"/>
          <w:lang w:val="en-US" w:eastAsia="zh-CN"/>
        </w:rPr>
        <w:t>16</w:t>
      </w:r>
      <w:r>
        <w:rPr>
          <w:rFonts w:ascii="Times New Roman" w:hAnsi="Times New Roman" w:eastAsia="宋体" w:cs="Times New Roman"/>
          <w:color w:val="242021"/>
          <w:szCs w:val="21"/>
          <w:vertAlign w:val="superscript"/>
        </w:rPr>
        <w:t>]</w:t>
      </w:r>
      <w:r>
        <w:rPr>
          <w:rFonts w:hint="eastAsia" w:ascii="Times New Roman" w:hAnsi="Times New Roman" w:cs="Times New Roman"/>
          <w:szCs w:val="21"/>
        </w:rPr>
        <w:t>。</w:t>
      </w:r>
    </w:p>
    <w:p w14:paraId="15A9A56D">
      <w:pPr>
        <w:spacing w:line="300" w:lineRule="auto"/>
        <w:ind w:firstLine="420" w:firstLineChars="200"/>
        <w:rPr>
          <w:szCs w:val="21"/>
        </w:rPr>
      </w:pPr>
      <w:r>
        <w:rPr>
          <w:rFonts w:hint="eastAsia"/>
          <w:szCs w:val="21"/>
        </w:rPr>
        <w:t>基于以上分析发现，无论是农业现代化，还是农业现代化基础上的劳动力转移都有利于实现二元经济结构在产业和空间上的转化与趋同，因此，提出本文的研究假</w:t>
      </w:r>
      <w:r>
        <w:rPr>
          <w:rFonts w:hint="eastAsia" w:ascii="Times New Roman" w:hAnsi="Times New Roman" w:cs="Times New Roman"/>
          <w:szCs w:val="21"/>
        </w:rPr>
        <w:t>说</w:t>
      </w:r>
      <w:r>
        <w:rPr>
          <w:rFonts w:ascii="Times New Roman" w:hAnsi="Times New Roman" w:cs="Times New Roman"/>
          <w:szCs w:val="21"/>
        </w:rPr>
        <w:t>H</w:t>
      </w:r>
      <w:r>
        <w:rPr>
          <w:rFonts w:hint="eastAsia" w:ascii="Times New Roman" w:hAnsi="Times New Roman" w:cs="Times New Roman"/>
          <w:szCs w:val="21"/>
        </w:rPr>
        <w:t>2：</w:t>
      </w:r>
      <w:r>
        <w:rPr>
          <w:rFonts w:hint="eastAsia"/>
          <w:szCs w:val="21"/>
        </w:rPr>
        <w:t>农业现代化、农业劳动力转移均有利于二元经济结构优化。基于上文分析及假说</w:t>
      </w:r>
      <w:r>
        <w:rPr>
          <w:rFonts w:ascii="Times New Roman" w:hAnsi="Times New Roman" w:cs="Times New Roman"/>
          <w:szCs w:val="21"/>
        </w:rPr>
        <w:t>H1、H2</w:t>
      </w:r>
      <w:r>
        <w:rPr>
          <w:rFonts w:hint="eastAsia"/>
          <w:szCs w:val="21"/>
        </w:rPr>
        <w:t>，提出研究假</w:t>
      </w:r>
      <w:r>
        <w:rPr>
          <w:rFonts w:hint="eastAsia" w:ascii="Times New Roman" w:hAnsi="Times New Roman" w:cs="Times New Roman"/>
          <w:szCs w:val="21"/>
        </w:rPr>
        <w:t>说</w:t>
      </w:r>
      <w:r>
        <w:rPr>
          <w:rFonts w:ascii="Times New Roman" w:hAnsi="Times New Roman" w:cs="Times New Roman"/>
          <w:szCs w:val="21"/>
        </w:rPr>
        <w:t>H</w:t>
      </w:r>
      <w:r>
        <w:rPr>
          <w:rFonts w:hint="eastAsia" w:ascii="Times New Roman" w:hAnsi="Times New Roman" w:cs="Times New Roman"/>
          <w:szCs w:val="21"/>
        </w:rPr>
        <w:t>3：农</w:t>
      </w:r>
      <w:r>
        <w:rPr>
          <w:rFonts w:hint="eastAsia"/>
          <w:szCs w:val="21"/>
        </w:rPr>
        <w:t>业劳动力转移在农业现代化与二元经济结构关系中发挥中介作用。</w:t>
      </w:r>
    </w:p>
    <w:p w14:paraId="6B6F4437">
      <w:pPr>
        <w:spacing w:line="300" w:lineRule="auto"/>
        <w:ind w:firstLine="482" w:firstLineChars="200"/>
        <w:jc w:val="both"/>
        <w:rPr>
          <w:b/>
          <w:bCs/>
          <w:sz w:val="24"/>
        </w:rPr>
      </w:pPr>
      <w:commentRangeStart w:id="14"/>
      <w:r>
        <w:rPr>
          <w:rFonts w:hint="eastAsia"/>
          <w:b/>
          <w:bCs/>
          <w:sz w:val="24"/>
          <w:lang w:val="en-US" w:eastAsia="zh-CN"/>
        </w:rPr>
        <w:t>二</w:t>
      </w:r>
      <w:r>
        <w:rPr>
          <w:rFonts w:hint="eastAsia"/>
          <w:b/>
          <w:bCs/>
          <w:sz w:val="24"/>
        </w:rPr>
        <w:t>、模型、变量与数据处理</w:t>
      </w:r>
      <w:commentRangeEnd w:id="14"/>
      <w:r>
        <w:commentReference w:id="14"/>
      </w:r>
    </w:p>
    <w:p w14:paraId="5CF9ED6F">
      <w:pPr>
        <w:spacing w:line="300" w:lineRule="auto"/>
        <w:ind w:firstLine="422" w:firstLineChars="200"/>
      </w:pPr>
      <w:r>
        <w:rPr>
          <w:rFonts w:hint="eastAsia"/>
          <w:b/>
          <w:bCs/>
        </w:rPr>
        <w:t>（一）模型设定</w:t>
      </w:r>
    </w:p>
    <w:p w14:paraId="3C7DC2D1">
      <w:pPr>
        <w:spacing w:line="300" w:lineRule="auto"/>
        <w:ind w:firstLine="422" w:firstLineChars="200"/>
      </w:pPr>
      <w:r>
        <w:rPr>
          <w:rFonts w:ascii="Times New Roman" w:hAnsi="Times New Roman" w:cs="Times New Roman"/>
          <w:b/>
          <w:bCs/>
        </w:rPr>
        <w:t>1.</w:t>
      </w:r>
      <w:r>
        <w:rPr>
          <w:rFonts w:hint="eastAsia"/>
          <w:b/>
          <w:bCs/>
        </w:rPr>
        <w:t>基准模型</w:t>
      </w:r>
      <w:r>
        <w:rPr>
          <w:rFonts w:hint="eastAsia"/>
        </w:rPr>
        <w:t>。为分析农业现代化、劳动力转移与二元经济结构之间的相互作用与因果关系，设立基准模型如下：</w:t>
      </w:r>
    </w:p>
    <w:p w14:paraId="0A230ADA">
      <w:pPr>
        <w:snapToGrid w:val="0"/>
        <w:spacing w:line="300" w:lineRule="auto"/>
        <w:jc w:val="center"/>
        <w:rPr>
          <w:rFonts w:ascii="Times New Roman" w:hAnsi="Times New Roman" w:cs="Times New Roman"/>
        </w:rPr>
      </w:pPr>
      <w:r>
        <w:rPr>
          <w:rFonts w:hint="eastAsia"/>
        </w:rPr>
        <w:t xml:space="preserve">             </w:t>
      </w:r>
      <w:r>
        <w:rPr>
          <w:rFonts w:ascii="Times New Roman" w:hAnsi="Times New Roman" w:cs="Times New Roman"/>
          <w:sz w:val="18"/>
          <w:szCs w:val="18"/>
        </w:rPr>
        <w:t xml:space="preserve">     </w:t>
      </w:r>
      <w:r>
        <w:rPr>
          <w:rFonts w:ascii="Times New Roman" w:hAnsi="Times New Roman" w:cs="Times New Roman"/>
          <w:sz w:val="18"/>
          <w:szCs w:val="18"/>
        </w:rPr>
        <w:pict>
          <v:shape id="_x0000_i1025" o:spt="75" type="#_x0000_t75" style="height:15.6pt;width:207.9pt;" filled="f" o:preferrelative="t" stroked="f" coordsize="21600,21600">
            <v:path/>
            <v:fill on="f" focussize="0,0"/>
            <v:stroke on="f" joinstyle="miter"/>
            <v:imagedata r:id="rId8" o:title=""/>
            <o:lock v:ext="edit" aspectratio="f"/>
            <w10:wrap type="none"/>
            <w10:anchorlock/>
          </v:shape>
        </w:pict>
      </w:r>
      <w:r>
        <w:rPr>
          <w:rFonts w:ascii="Times New Roman" w:hAnsi="Times New Roman" w:cs="Times New Roman"/>
          <w:sz w:val="18"/>
          <w:szCs w:val="18"/>
        </w:rPr>
        <w:t xml:space="preserve">               （1）</w:t>
      </w:r>
    </w:p>
    <w:p w14:paraId="3D8C6ED8">
      <w:pPr>
        <w:spacing w:line="300" w:lineRule="auto"/>
        <w:ind w:firstLine="420" w:firstLineChars="200"/>
        <w:rPr>
          <w:rFonts w:ascii="Times New Roman" w:hAnsi="Times New Roman" w:cs="Times New Roman"/>
        </w:rPr>
      </w:pPr>
      <w:r>
        <w:rPr>
          <w:rFonts w:ascii="Times New Roman" w:hAnsi="Times New Roman" w:cs="Times New Roman"/>
        </w:rPr>
        <w:t>式（1）中，下标i和t分别代表第i个省份和第t时期，被解释变量为城乡二元经济结构（stru），解释变量分别为农业现代化（agr）与农业劳动力转移（tran），X代表控制变量，v代表个体固定效应，ε代表随机扰动项。</w:t>
      </w:r>
    </w:p>
    <w:p w14:paraId="7B1113F2">
      <w:pPr>
        <w:spacing w:line="300" w:lineRule="auto"/>
        <w:ind w:firstLine="422" w:firstLineChars="200"/>
      </w:pPr>
      <w:r>
        <w:rPr>
          <w:rFonts w:hint="eastAsia" w:ascii="Times New Roman" w:hAnsi="Times New Roman" w:cs="Times New Roman"/>
          <w:b/>
          <w:bCs/>
        </w:rPr>
        <w:t>2.</w:t>
      </w:r>
      <w:r>
        <w:rPr>
          <w:rFonts w:hint="eastAsia"/>
          <w:b/>
          <w:bCs/>
        </w:rPr>
        <w:t>中介效应检验模型</w:t>
      </w:r>
      <w:r>
        <w:rPr>
          <w:rFonts w:hint="eastAsia"/>
        </w:rPr>
        <w:t>。为检验劳动力转移在农业现代化与二元经济结构关系中发挥的中介作用，本文借鉴</w:t>
      </w:r>
      <w:r>
        <w:rPr>
          <w:rFonts w:hint="eastAsia" w:ascii="Times New Roman" w:hAnsi="Times New Roman" w:cs="Times New Roman"/>
        </w:rPr>
        <w:t>Baron &amp; Kenny</w:t>
      </w:r>
      <w:r>
        <w:rPr>
          <w:rFonts w:hint="eastAsia"/>
        </w:rPr>
        <w:t>提出的中介效应检验法</w:t>
      </w:r>
      <w:r>
        <w:rPr>
          <w:vertAlign w:val="superscript"/>
        </w:rPr>
        <w:t>[</w:t>
      </w:r>
      <w:r>
        <w:rPr>
          <w:rFonts w:hint="eastAsia"/>
          <w:vertAlign w:val="superscript"/>
          <w:lang w:val="en-US" w:eastAsia="zh-CN"/>
        </w:rPr>
        <w:t>17</w:t>
      </w:r>
      <w:r>
        <w:rPr>
          <w:vertAlign w:val="superscript"/>
        </w:rPr>
        <w:t>]</w:t>
      </w:r>
      <w:r>
        <w:rPr>
          <w:rFonts w:hint="eastAsia"/>
        </w:rPr>
        <w:t>，构建以下中介效应检验模型：</w:t>
      </w:r>
    </w:p>
    <w:p w14:paraId="22996694">
      <w:pPr>
        <w:snapToGrid w:val="0"/>
        <w:spacing w:line="300" w:lineRule="auto"/>
        <w:jc w:val="center"/>
        <w:rPr>
          <w:rFonts w:ascii="Times New Roman" w:hAnsi="Times New Roman" w:eastAsia="宋体" w:cs="Times New Roman"/>
          <w:sz w:val="18"/>
          <w:szCs w:val="18"/>
        </w:rPr>
      </w:pPr>
      <w:r>
        <w:rPr>
          <w:rFonts w:hint="eastAsia"/>
        </w:rPr>
        <w:t xml:space="preserve">          </w:t>
      </w:r>
      <w:r>
        <w:rPr>
          <w:rFonts w:ascii="Times New Roman" w:hAnsi="Times New Roman" w:cs="Times New Roman"/>
          <w:sz w:val="18"/>
          <w:szCs w:val="18"/>
        </w:rPr>
        <w:t xml:space="preserve">  </w:t>
      </w:r>
      <w:r>
        <w:rPr>
          <w:rFonts w:hint="eastAsia" w:ascii="Times New Roman" w:hAnsi="Times New Roman" w:cs="Times New Roman"/>
          <w:sz w:val="18"/>
          <w:szCs w:val="18"/>
        </w:rPr>
        <w:t xml:space="preserve"> </w:t>
      </w:r>
      <w:r>
        <w:rPr>
          <w:rFonts w:ascii="Times New Roman" w:hAnsi="Times New Roman" w:cs="Times New Roman"/>
          <w:sz w:val="18"/>
          <w:szCs w:val="18"/>
        </w:rPr>
        <w:t xml:space="preserve">   </w:t>
      </w:r>
      <w:r>
        <w:rPr>
          <w:rFonts w:ascii="Times New Roman" w:hAnsi="Times New Roman" w:eastAsia="宋体" w:cs="Times New Roman"/>
          <w:sz w:val="18"/>
          <w:szCs w:val="18"/>
        </w:rPr>
        <w:pict>
          <v:shape id="_x0000_i1026" o:spt="75" type="#_x0000_t75" style="height:18pt;width:163.05pt;" filled="f" o:preferrelative="t" stroked="f" coordsize="21600,21600">
            <v:path/>
            <v:fill on="f" focussize="0,0"/>
            <v:stroke on="f" joinstyle="miter"/>
            <v:imagedata r:id="rId9" o:title=""/>
            <o:lock v:ext="edit" aspectratio="f"/>
            <w10:wrap type="none"/>
            <w10:anchorlock/>
          </v:shape>
        </w:pict>
      </w:r>
      <w:r>
        <w:rPr>
          <w:rFonts w:ascii="Times New Roman" w:hAnsi="Times New Roman" w:eastAsia="宋体" w:cs="Times New Roman"/>
          <w:sz w:val="18"/>
          <w:szCs w:val="18"/>
        </w:rPr>
        <w:t xml:space="preserve">                             （2）</w:t>
      </w:r>
    </w:p>
    <w:p w14:paraId="00DFED0B">
      <w:pPr>
        <w:snapToGrid w:val="0"/>
        <w:spacing w:line="300" w:lineRule="auto"/>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ascii="Times New Roman" w:hAnsi="Times New Roman" w:eastAsia="宋体" w:cs="Times New Roman"/>
          <w:sz w:val="18"/>
          <w:szCs w:val="18"/>
        </w:rPr>
        <w:pict>
          <v:shape id="_x0000_i1027" o:spt="75" type="#_x0000_t75" style="height:17.4pt;width:167.55pt;" filled="f" o:preferrelative="t" stroked="f" coordsize="21600,21600">
            <v:path/>
            <v:fill on="f" focussize="0,0"/>
            <v:stroke on="f" joinstyle="miter"/>
            <v:imagedata r:id="rId10" o:title=""/>
            <o:lock v:ext="edit" aspectratio="f"/>
            <w10:wrap type="none"/>
            <w10:anchorlock/>
          </v:shape>
        </w:pict>
      </w:r>
      <w:r>
        <w:rPr>
          <w:rFonts w:ascii="Times New Roman" w:hAnsi="Times New Roman" w:eastAsia="宋体" w:cs="Times New Roman"/>
          <w:sz w:val="18"/>
          <w:szCs w:val="18"/>
        </w:rPr>
        <w:t xml:space="preserve">                            （3）</w:t>
      </w:r>
    </w:p>
    <w:p w14:paraId="2EAA952D">
      <w:pPr>
        <w:snapToGrid w:val="0"/>
        <w:spacing w:line="300" w:lineRule="auto"/>
        <w:ind w:firstLine="1080" w:firstLineChars="600"/>
        <w:rPr>
          <w:rFonts w:ascii="Times New Roman" w:hAnsi="Times New Roman" w:cs="Times New Roman"/>
          <w:sz w:val="18"/>
          <w:szCs w:val="18"/>
        </w:rPr>
      </w:pPr>
      <w:r>
        <w:rPr>
          <w:rFonts w:ascii="Times New Roman" w:hAnsi="Times New Roman" w:eastAsia="宋体" w:cs="Times New Roman"/>
          <w:sz w:val="18"/>
          <w:szCs w:val="18"/>
        </w:rPr>
        <w:t xml:space="preserve">        </w:t>
      </w:r>
      <w:r>
        <w:rPr>
          <w:rFonts w:ascii="Times New Roman" w:hAnsi="Times New Roman" w:eastAsia="宋体" w:cs="Times New Roman"/>
          <w:sz w:val="18"/>
          <w:szCs w:val="18"/>
        </w:rPr>
        <w:pict>
          <v:shape id="_x0000_i1028" o:spt="75" type="#_x0000_t75" style="height:18pt;width:213.25pt;" filled="f" o:preferrelative="t" stroked="f" coordsize="21600,21600">
            <v:path/>
            <v:fill on="f" focussize="0,0"/>
            <v:stroke on="f" joinstyle="miter"/>
            <v:imagedata r:id="rId11" o:title=""/>
            <o:lock v:ext="edit" aspectratio="f"/>
            <w10:wrap type="none"/>
            <w10:anchorlock/>
          </v:shape>
        </w:pict>
      </w:r>
      <w:r>
        <w:rPr>
          <w:rFonts w:ascii="Times New Roman" w:hAnsi="Times New Roman" w:cs="Times New Roman"/>
          <w:sz w:val="18"/>
          <w:szCs w:val="18"/>
        </w:rPr>
        <w:t xml:space="preserve">     </w:t>
      </w:r>
      <w:r>
        <w:rPr>
          <w:rFonts w:hint="eastAsia" w:ascii="Times New Roman" w:hAnsi="Times New Roman" w:cs="Times New Roman"/>
          <w:sz w:val="18"/>
          <w:szCs w:val="18"/>
          <w:lang w:val="en-US" w:eastAsia="zh-CN"/>
        </w:rPr>
        <w:t xml:space="preserve">        </w:t>
      </w:r>
      <w:r>
        <w:rPr>
          <w:rFonts w:ascii="Times New Roman" w:hAnsi="Times New Roman" w:cs="Times New Roman"/>
          <w:sz w:val="18"/>
          <w:szCs w:val="18"/>
        </w:rPr>
        <w:t xml:space="preserve">     （4）</w:t>
      </w:r>
    </w:p>
    <w:p w14:paraId="43D6B605">
      <w:pPr>
        <w:spacing w:line="300" w:lineRule="auto"/>
        <w:ind w:firstLine="420" w:firstLineChars="200"/>
        <w:rPr>
          <w:rFonts w:ascii="Times New Roman" w:hAnsi="Times New Roman" w:cs="Times New Roman"/>
        </w:rPr>
      </w:pPr>
      <w:r>
        <w:rPr>
          <w:rFonts w:ascii="Times New Roman" w:hAnsi="Times New Roman" w:cs="Times New Roman"/>
        </w:rPr>
        <w:t>（2）-（4）中，二元经济结构（stru）</w:t>
      </w:r>
      <w:r>
        <w:rPr>
          <w:rFonts w:hint="eastAsia" w:ascii="Times New Roman" w:hAnsi="Times New Roman" w:cs="Times New Roman"/>
        </w:rPr>
        <w:t>是因变量，农业现代化（agr）是自变量，农业转移人口（tran）是中介变量，b、c、d、b</w:t>
      </w:r>
      <w:r>
        <w:rPr>
          <w:rFonts w:ascii="Times New Roman" w:hAnsi="Times New Roman" w:cs="Times New Roman"/>
        </w:rPr>
        <w:t>'</w:t>
      </w:r>
      <w:r>
        <w:rPr>
          <w:rFonts w:hint="eastAsia" w:ascii="Times New Roman" w:hAnsi="Times New Roman" w:cs="Times New Roman"/>
        </w:rPr>
        <w:t>为回归系数。当模型中系数b、c、d均显著时，则存在中介效应，此时，若b</w:t>
      </w:r>
      <w:r>
        <w:rPr>
          <w:rFonts w:ascii="Times New Roman" w:hAnsi="Times New Roman" w:cs="Times New Roman"/>
        </w:rPr>
        <w:t>'</w:t>
      </w:r>
      <w:r>
        <w:rPr>
          <w:rFonts w:hint="eastAsia" w:ascii="Times New Roman" w:hAnsi="Times New Roman" w:cs="Times New Roman"/>
        </w:rPr>
        <w:t>不显著则为完全中介作用，否则为部分中介作用。若b显著，c、d至少有一个不显著时，则需要进一步检验两者乘积cd是否为零，不为零时说明存在中介效应。</w:t>
      </w:r>
    </w:p>
    <w:p w14:paraId="3F9406E6">
      <w:pPr>
        <w:spacing w:line="300" w:lineRule="auto"/>
        <w:ind w:firstLine="422" w:firstLineChars="200"/>
        <w:rPr>
          <w:b/>
          <w:bCs/>
        </w:rPr>
      </w:pPr>
      <w:r>
        <w:rPr>
          <w:rFonts w:hint="eastAsia"/>
          <w:b/>
          <w:bCs/>
        </w:rPr>
        <w:t>（二）变量说明</w:t>
      </w:r>
    </w:p>
    <w:p w14:paraId="7801FBA5">
      <w:pPr>
        <w:spacing w:line="300" w:lineRule="auto"/>
        <w:ind w:firstLine="420" w:firstLineChars="200"/>
        <w:rPr>
          <w:rFonts w:ascii="Times New Roman" w:hAnsi="Times New Roman" w:cs="Times New Roman"/>
          <w:szCs w:val="21"/>
        </w:rPr>
      </w:pPr>
      <w:r>
        <w:rPr>
          <w:rFonts w:hint="eastAsia" w:ascii="Times New Roman" w:hAnsi="Times New Roman" w:cs="Times New Roman"/>
          <w:szCs w:val="21"/>
        </w:rPr>
        <w:t>本文主要检验农业现代化、农业劳动力转移对二元经济结构的影响及劳动力转移在其中的中介效应，为提高检验结果的准确性，还引入了其他可能影响二元经济结构的经济和社会因素，主要变量</w:t>
      </w:r>
      <w:r>
        <w:rPr>
          <w:rFonts w:hint="eastAsia" w:ascii="Times New Roman" w:hAnsi="Times New Roman" w:cs="Times New Roman"/>
          <w:szCs w:val="21"/>
          <w:lang w:val="en-US" w:eastAsia="zh-CN"/>
        </w:rPr>
        <w:t>见</w:t>
      </w:r>
      <w:r>
        <w:rPr>
          <w:rFonts w:hint="eastAsia" w:ascii="Times New Roman" w:hAnsi="Times New Roman" w:cs="Times New Roman"/>
        </w:rPr>
        <w:t>1</w:t>
      </w:r>
      <w:r>
        <w:rPr>
          <w:rFonts w:hint="eastAsia" w:ascii="Times New Roman" w:hAnsi="Times New Roman" w:cs="Times New Roman"/>
          <w:szCs w:val="21"/>
        </w:rPr>
        <w:t>。</w:t>
      </w:r>
    </w:p>
    <w:p w14:paraId="6806AB5A">
      <w:pPr>
        <w:pStyle w:val="8"/>
        <w:spacing w:beforeAutospacing="0" w:afterAutospacing="0" w:line="300" w:lineRule="auto"/>
        <w:rPr>
          <w:rFonts w:ascii="Times New Roman" w:hAnsi="Times New Roman"/>
          <w:sz w:val="18"/>
          <w:szCs w:val="18"/>
        </w:rPr>
      </w:pPr>
      <w:r>
        <w:rPr>
          <w:rFonts w:ascii="Times New Roman" w:hAnsi="Times New Roman"/>
          <w:szCs w:val="21"/>
        </w:rPr>
        <w:tab/>
      </w:r>
    </w:p>
    <w:p w14:paraId="79E59DF2">
      <w:pPr>
        <w:pStyle w:val="8"/>
        <w:spacing w:beforeAutospacing="0" w:afterAutospacing="0" w:line="300" w:lineRule="auto"/>
        <w:ind w:firstLine="181" w:firstLineChars="100"/>
        <w:jc w:val="center"/>
        <w:rPr>
          <w:rFonts w:ascii="Times New Roman" w:hAnsi="Times New Roman"/>
          <w:b/>
          <w:bCs/>
          <w:sz w:val="21"/>
          <w:szCs w:val="21"/>
        </w:rPr>
      </w:pPr>
      <w:r>
        <w:rPr>
          <w:rFonts w:ascii="Times New Roman" w:hAnsi="Times New Roman"/>
          <w:b/>
          <w:bCs/>
          <w:sz w:val="18"/>
          <w:szCs w:val="18"/>
        </w:rPr>
        <w:t>表</w:t>
      </w:r>
      <w:r>
        <w:rPr>
          <w:rFonts w:ascii="Times New Roman" w:hAnsi="Times New Roman"/>
          <w:kern w:val="2"/>
          <w:sz w:val="18"/>
          <w:szCs w:val="18"/>
        </w:rPr>
        <w:t>1</w:t>
      </w:r>
      <w:r>
        <w:rPr>
          <w:rFonts w:ascii="Times New Roman" w:hAnsi="Times New Roman"/>
          <w:b/>
          <w:bCs/>
          <w:sz w:val="18"/>
          <w:szCs w:val="18"/>
        </w:rPr>
        <w:t xml:space="preserve">   计量模型中的变量说明</w:t>
      </w:r>
    </w:p>
    <w:tbl>
      <w:tblPr>
        <w:tblStyle w:val="10"/>
        <w:tblW w:w="8296" w:type="dxa"/>
        <w:jc w:val="center"/>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274"/>
        <w:gridCol w:w="1250"/>
        <w:gridCol w:w="1810"/>
        <w:gridCol w:w="3962"/>
      </w:tblGrid>
      <w:tr w14:paraId="1E86F225">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tcBorders>
              <w:top w:val="single" w:color="auto" w:sz="6" w:space="0"/>
              <w:bottom w:val="single" w:color="auto" w:sz="6" w:space="0"/>
            </w:tcBorders>
            <w:vAlign w:val="center"/>
          </w:tcPr>
          <w:p w14:paraId="39B0CBFF">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变量类型</w:t>
            </w:r>
          </w:p>
        </w:tc>
        <w:tc>
          <w:tcPr>
            <w:tcW w:w="1250" w:type="dxa"/>
            <w:tcBorders>
              <w:top w:val="single" w:color="auto" w:sz="6" w:space="0"/>
              <w:bottom w:val="single" w:color="auto" w:sz="6" w:space="0"/>
            </w:tcBorders>
            <w:vAlign w:val="center"/>
          </w:tcPr>
          <w:p w14:paraId="48F36475">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变量名称</w:t>
            </w:r>
          </w:p>
        </w:tc>
        <w:tc>
          <w:tcPr>
            <w:tcW w:w="1810" w:type="dxa"/>
            <w:tcBorders>
              <w:top w:val="single" w:color="auto" w:sz="6" w:space="0"/>
              <w:bottom w:val="single" w:color="auto" w:sz="6" w:space="0"/>
            </w:tcBorders>
            <w:vAlign w:val="center"/>
          </w:tcPr>
          <w:p w14:paraId="788DCE04">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变量含义</w:t>
            </w:r>
          </w:p>
        </w:tc>
        <w:tc>
          <w:tcPr>
            <w:tcW w:w="3962" w:type="dxa"/>
            <w:tcBorders>
              <w:top w:val="single" w:color="auto" w:sz="6" w:space="0"/>
              <w:bottom w:val="single" w:color="auto" w:sz="6" w:space="0"/>
            </w:tcBorders>
            <w:vAlign w:val="center"/>
          </w:tcPr>
          <w:p w14:paraId="4D7EB87B">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变量说明</w:t>
            </w:r>
          </w:p>
        </w:tc>
      </w:tr>
      <w:tr w14:paraId="0C4C3F17">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tcBorders>
              <w:top w:val="single" w:color="auto" w:sz="6" w:space="0"/>
              <w:bottom w:val="single" w:color="auto" w:sz="4" w:space="0"/>
            </w:tcBorders>
            <w:vAlign w:val="center"/>
          </w:tcPr>
          <w:p w14:paraId="67F65881">
            <w:pPr>
              <w:pStyle w:val="8"/>
              <w:spacing w:beforeAutospacing="0" w:afterAutospacing="0"/>
              <w:jc w:val="center"/>
              <w:rPr>
                <w:rFonts w:ascii="Times New Roman" w:hAnsi="Times New Roman"/>
                <w:sz w:val="18"/>
                <w:szCs w:val="18"/>
              </w:rPr>
            </w:pPr>
            <w:r>
              <w:rPr>
                <w:rFonts w:ascii="Times New Roman" w:hAnsi="Times New Roman"/>
                <w:sz w:val="18"/>
                <w:szCs w:val="18"/>
              </w:rPr>
              <w:t>被解释变量</w:t>
            </w:r>
          </w:p>
        </w:tc>
        <w:tc>
          <w:tcPr>
            <w:tcW w:w="1250" w:type="dxa"/>
            <w:tcBorders>
              <w:top w:val="single" w:color="auto" w:sz="6" w:space="0"/>
              <w:bottom w:val="single" w:color="auto" w:sz="4" w:space="0"/>
            </w:tcBorders>
            <w:vAlign w:val="center"/>
          </w:tcPr>
          <w:p w14:paraId="15D3D5FE">
            <w:pPr>
              <w:pStyle w:val="8"/>
              <w:spacing w:beforeAutospacing="0" w:afterAutospacing="0"/>
              <w:jc w:val="center"/>
              <w:rPr>
                <w:rFonts w:ascii="Times New Roman" w:hAnsi="Times New Roman"/>
                <w:sz w:val="18"/>
                <w:szCs w:val="18"/>
              </w:rPr>
            </w:pPr>
            <w:r>
              <w:rPr>
                <w:rFonts w:ascii="Times New Roman" w:hAnsi="Times New Roman"/>
                <w:sz w:val="18"/>
                <w:szCs w:val="18"/>
              </w:rPr>
              <w:t>stru</w:t>
            </w:r>
          </w:p>
        </w:tc>
        <w:tc>
          <w:tcPr>
            <w:tcW w:w="1810" w:type="dxa"/>
            <w:tcBorders>
              <w:top w:val="single" w:color="auto" w:sz="6" w:space="0"/>
              <w:bottom w:val="single" w:color="auto" w:sz="4" w:space="0"/>
            </w:tcBorders>
            <w:vAlign w:val="center"/>
          </w:tcPr>
          <w:p w14:paraId="20BB4411">
            <w:pPr>
              <w:pStyle w:val="8"/>
              <w:spacing w:beforeAutospacing="0" w:afterAutospacing="0"/>
              <w:jc w:val="center"/>
              <w:rPr>
                <w:rFonts w:ascii="Times New Roman" w:hAnsi="Times New Roman"/>
                <w:sz w:val="18"/>
                <w:szCs w:val="18"/>
              </w:rPr>
            </w:pPr>
            <w:r>
              <w:rPr>
                <w:rFonts w:ascii="Times New Roman" w:hAnsi="Times New Roman"/>
                <w:sz w:val="18"/>
                <w:szCs w:val="18"/>
              </w:rPr>
              <w:t>二元经济结构</w:t>
            </w:r>
          </w:p>
        </w:tc>
        <w:tc>
          <w:tcPr>
            <w:tcW w:w="3962" w:type="dxa"/>
            <w:tcBorders>
              <w:top w:val="single" w:color="auto" w:sz="6" w:space="0"/>
              <w:bottom w:val="single" w:color="auto" w:sz="4" w:space="0"/>
            </w:tcBorders>
            <w:vAlign w:val="center"/>
          </w:tcPr>
          <w:p w14:paraId="7E1B7A98">
            <w:pPr>
              <w:pStyle w:val="8"/>
              <w:spacing w:beforeAutospacing="0" w:afterAutospacing="0"/>
              <w:jc w:val="center"/>
              <w:rPr>
                <w:rFonts w:ascii="Times New Roman" w:hAnsi="Times New Roman"/>
                <w:sz w:val="18"/>
                <w:szCs w:val="18"/>
              </w:rPr>
            </w:pPr>
            <w:r>
              <w:rPr>
                <w:rFonts w:ascii="Times New Roman" w:hAnsi="Times New Roman"/>
                <w:sz w:val="18"/>
                <w:szCs w:val="18"/>
              </w:rPr>
              <w:t>二元对比系数</w:t>
            </w:r>
          </w:p>
        </w:tc>
      </w:tr>
      <w:tr w14:paraId="0EF6A19E">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restart"/>
            <w:tcBorders>
              <w:top w:val="single" w:color="auto" w:sz="4" w:space="0"/>
              <w:bottom w:val="nil"/>
            </w:tcBorders>
            <w:vAlign w:val="center"/>
          </w:tcPr>
          <w:p w14:paraId="309FE80B">
            <w:pPr>
              <w:pStyle w:val="8"/>
              <w:spacing w:beforeAutospacing="0" w:afterAutospacing="0"/>
              <w:jc w:val="center"/>
              <w:rPr>
                <w:rFonts w:ascii="Times New Roman" w:hAnsi="Times New Roman"/>
                <w:sz w:val="18"/>
                <w:szCs w:val="18"/>
              </w:rPr>
            </w:pPr>
            <w:r>
              <w:rPr>
                <w:rFonts w:ascii="Times New Roman" w:hAnsi="Times New Roman"/>
                <w:sz w:val="18"/>
                <w:szCs w:val="18"/>
              </w:rPr>
              <w:t>解释变量</w:t>
            </w:r>
          </w:p>
        </w:tc>
        <w:tc>
          <w:tcPr>
            <w:tcW w:w="1250" w:type="dxa"/>
            <w:tcBorders>
              <w:top w:val="single" w:color="auto" w:sz="4" w:space="0"/>
              <w:bottom w:val="nil"/>
            </w:tcBorders>
            <w:vAlign w:val="center"/>
          </w:tcPr>
          <w:p w14:paraId="393C1FFD">
            <w:pPr>
              <w:pStyle w:val="8"/>
              <w:spacing w:beforeAutospacing="0" w:afterAutospacing="0"/>
              <w:jc w:val="center"/>
              <w:rPr>
                <w:rFonts w:ascii="Times New Roman" w:hAnsi="Times New Roman"/>
                <w:sz w:val="18"/>
                <w:szCs w:val="18"/>
              </w:rPr>
            </w:pPr>
            <w:r>
              <w:rPr>
                <w:rFonts w:ascii="Times New Roman" w:hAnsi="Times New Roman"/>
                <w:sz w:val="18"/>
                <w:szCs w:val="18"/>
              </w:rPr>
              <w:t>agr</w:t>
            </w:r>
          </w:p>
        </w:tc>
        <w:tc>
          <w:tcPr>
            <w:tcW w:w="1810" w:type="dxa"/>
            <w:tcBorders>
              <w:top w:val="single" w:color="auto" w:sz="4" w:space="0"/>
              <w:bottom w:val="nil"/>
            </w:tcBorders>
            <w:vAlign w:val="center"/>
          </w:tcPr>
          <w:p w14:paraId="7114B729">
            <w:pPr>
              <w:pStyle w:val="8"/>
              <w:spacing w:beforeAutospacing="0" w:afterAutospacing="0"/>
              <w:jc w:val="center"/>
              <w:rPr>
                <w:rFonts w:ascii="Times New Roman" w:hAnsi="Times New Roman"/>
                <w:sz w:val="18"/>
                <w:szCs w:val="18"/>
              </w:rPr>
            </w:pPr>
            <w:r>
              <w:rPr>
                <w:rFonts w:ascii="Times New Roman" w:hAnsi="Times New Roman"/>
                <w:sz w:val="18"/>
                <w:szCs w:val="18"/>
              </w:rPr>
              <w:t>农业现代化</w:t>
            </w:r>
          </w:p>
        </w:tc>
        <w:tc>
          <w:tcPr>
            <w:tcW w:w="3962" w:type="dxa"/>
            <w:tcBorders>
              <w:top w:val="single" w:color="auto" w:sz="4" w:space="0"/>
              <w:bottom w:val="nil"/>
            </w:tcBorders>
            <w:vAlign w:val="center"/>
          </w:tcPr>
          <w:p w14:paraId="01995980">
            <w:pPr>
              <w:pStyle w:val="8"/>
              <w:spacing w:beforeAutospacing="0" w:afterAutospacing="0"/>
              <w:jc w:val="center"/>
              <w:rPr>
                <w:rFonts w:ascii="Times New Roman" w:hAnsi="Times New Roman"/>
                <w:sz w:val="18"/>
                <w:szCs w:val="18"/>
              </w:rPr>
            </w:pPr>
            <w:r>
              <w:rPr>
                <w:rFonts w:ascii="Times New Roman" w:hAnsi="Times New Roman"/>
                <w:sz w:val="18"/>
                <w:szCs w:val="18"/>
              </w:rPr>
              <w:t>农业劳动生产率</w:t>
            </w:r>
          </w:p>
        </w:tc>
      </w:tr>
      <w:tr w14:paraId="0AEDAC2C">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continue"/>
            <w:tcBorders>
              <w:top w:val="nil"/>
              <w:bottom w:val="single" w:color="auto" w:sz="4" w:space="0"/>
            </w:tcBorders>
            <w:vAlign w:val="center"/>
          </w:tcPr>
          <w:p w14:paraId="16B76414">
            <w:pPr>
              <w:pStyle w:val="8"/>
              <w:spacing w:beforeAutospacing="0" w:afterAutospacing="0"/>
              <w:jc w:val="center"/>
              <w:rPr>
                <w:rFonts w:ascii="Times New Roman" w:hAnsi="Times New Roman"/>
                <w:sz w:val="18"/>
                <w:szCs w:val="18"/>
              </w:rPr>
            </w:pPr>
          </w:p>
        </w:tc>
        <w:tc>
          <w:tcPr>
            <w:tcW w:w="1250" w:type="dxa"/>
            <w:tcBorders>
              <w:top w:val="nil"/>
              <w:bottom w:val="single" w:color="auto" w:sz="4" w:space="0"/>
            </w:tcBorders>
            <w:vAlign w:val="center"/>
          </w:tcPr>
          <w:p w14:paraId="48B7FB7B">
            <w:pPr>
              <w:pStyle w:val="8"/>
              <w:spacing w:beforeAutospacing="0" w:afterAutospacing="0"/>
              <w:jc w:val="center"/>
              <w:rPr>
                <w:rFonts w:ascii="Times New Roman" w:hAnsi="Times New Roman"/>
                <w:sz w:val="18"/>
                <w:szCs w:val="18"/>
              </w:rPr>
            </w:pPr>
            <w:r>
              <w:rPr>
                <w:rFonts w:ascii="Times New Roman" w:hAnsi="Times New Roman"/>
                <w:sz w:val="18"/>
                <w:szCs w:val="18"/>
              </w:rPr>
              <w:t>tran</w:t>
            </w:r>
          </w:p>
        </w:tc>
        <w:tc>
          <w:tcPr>
            <w:tcW w:w="1810" w:type="dxa"/>
            <w:tcBorders>
              <w:top w:val="nil"/>
              <w:bottom w:val="single" w:color="auto" w:sz="4" w:space="0"/>
            </w:tcBorders>
            <w:vAlign w:val="center"/>
          </w:tcPr>
          <w:p w14:paraId="590B266C">
            <w:pPr>
              <w:pStyle w:val="8"/>
              <w:spacing w:beforeAutospacing="0" w:afterAutospacing="0"/>
              <w:jc w:val="center"/>
              <w:rPr>
                <w:rFonts w:ascii="Times New Roman" w:hAnsi="Times New Roman"/>
                <w:sz w:val="18"/>
                <w:szCs w:val="18"/>
              </w:rPr>
            </w:pPr>
            <w:r>
              <w:rPr>
                <w:rFonts w:ascii="Times New Roman" w:hAnsi="Times New Roman"/>
                <w:sz w:val="18"/>
                <w:szCs w:val="18"/>
              </w:rPr>
              <w:t>农业劳动力转移</w:t>
            </w:r>
          </w:p>
        </w:tc>
        <w:tc>
          <w:tcPr>
            <w:tcW w:w="3962" w:type="dxa"/>
            <w:tcBorders>
              <w:top w:val="nil"/>
              <w:bottom w:val="single" w:color="auto" w:sz="4" w:space="0"/>
            </w:tcBorders>
            <w:vAlign w:val="center"/>
          </w:tcPr>
          <w:p w14:paraId="3D6E2FB0">
            <w:pPr>
              <w:pStyle w:val="8"/>
              <w:spacing w:beforeAutospacing="0" w:afterAutospacing="0"/>
              <w:jc w:val="center"/>
              <w:rPr>
                <w:rFonts w:ascii="Times New Roman" w:hAnsi="Times New Roman"/>
                <w:sz w:val="18"/>
                <w:szCs w:val="18"/>
              </w:rPr>
            </w:pPr>
            <w:r>
              <w:rPr>
                <w:rFonts w:ascii="Times New Roman" w:hAnsi="Times New Roman"/>
                <w:sz w:val="18"/>
                <w:szCs w:val="18"/>
              </w:rPr>
              <w:t>乡村从业与农林牧渔业从业人员之差取对数</w:t>
            </w:r>
          </w:p>
        </w:tc>
      </w:tr>
      <w:tr w14:paraId="3FD88CA3">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restart"/>
            <w:tcBorders>
              <w:top w:val="single" w:color="auto" w:sz="4" w:space="0"/>
              <w:bottom w:val="nil"/>
            </w:tcBorders>
            <w:vAlign w:val="center"/>
          </w:tcPr>
          <w:p w14:paraId="3A79BB56">
            <w:pPr>
              <w:pStyle w:val="8"/>
              <w:spacing w:beforeAutospacing="0" w:afterAutospacing="0"/>
              <w:jc w:val="center"/>
              <w:rPr>
                <w:rFonts w:ascii="Times New Roman" w:hAnsi="Times New Roman"/>
                <w:sz w:val="18"/>
                <w:szCs w:val="18"/>
              </w:rPr>
            </w:pPr>
            <w:r>
              <w:rPr>
                <w:rFonts w:ascii="Times New Roman" w:hAnsi="Times New Roman"/>
                <w:sz w:val="18"/>
                <w:szCs w:val="18"/>
              </w:rPr>
              <w:t>控制变量</w:t>
            </w:r>
          </w:p>
        </w:tc>
        <w:tc>
          <w:tcPr>
            <w:tcW w:w="1250" w:type="dxa"/>
            <w:tcBorders>
              <w:top w:val="single" w:color="auto" w:sz="4" w:space="0"/>
              <w:bottom w:val="nil"/>
            </w:tcBorders>
            <w:vAlign w:val="center"/>
          </w:tcPr>
          <w:p w14:paraId="5CB6BC8C">
            <w:pPr>
              <w:pStyle w:val="8"/>
              <w:spacing w:beforeAutospacing="0" w:afterAutospacing="0"/>
              <w:jc w:val="center"/>
              <w:rPr>
                <w:rFonts w:ascii="Times New Roman" w:hAnsi="Times New Roman"/>
                <w:sz w:val="18"/>
                <w:szCs w:val="18"/>
              </w:rPr>
            </w:pPr>
            <w:r>
              <w:rPr>
                <w:rFonts w:ascii="Times New Roman" w:hAnsi="Times New Roman"/>
                <w:sz w:val="18"/>
                <w:szCs w:val="18"/>
              </w:rPr>
              <w:t>pgdp</w:t>
            </w:r>
          </w:p>
        </w:tc>
        <w:tc>
          <w:tcPr>
            <w:tcW w:w="1810" w:type="dxa"/>
            <w:tcBorders>
              <w:top w:val="single" w:color="auto" w:sz="4" w:space="0"/>
              <w:bottom w:val="nil"/>
            </w:tcBorders>
            <w:vAlign w:val="center"/>
          </w:tcPr>
          <w:p w14:paraId="6167AF2F">
            <w:pPr>
              <w:pStyle w:val="8"/>
              <w:spacing w:beforeAutospacing="0" w:afterAutospacing="0"/>
              <w:jc w:val="center"/>
              <w:rPr>
                <w:rFonts w:ascii="Times New Roman" w:hAnsi="Times New Roman"/>
                <w:sz w:val="18"/>
                <w:szCs w:val="18"/>
              </w:rPr>
            </w:pPr>
            <w:r>
              <w:rPr>
                <w:rFonts w:ascii="Times New Roman" w:hAnsi="Times New Roman"/>
                <w:sz w:val="18"/>
                <w:szCs w:val="18"/>
              </w:rPr>
              <w:t>经济发展水平</w:t>
            </w:r>
          </w:p>
        </w:tc>
        <w:tc>
          <w:tcPr>
            <w:tcW w:w="3962" w:type="dxa"/>
            <w:tcBorders>
              <w:top w:val="single" w:color="auto" w:sz="4" w:space="0"/>
              <w:bottom w:val="nil"/>
            </w:tcBorders>
            <w:vAlign w:val="center"/>
          </w:tcPr>
          <w:p w14:paraId="18893C76">
            <w:pPr>
              <w:pStyle w:val="8"/>
              <w:spacing w:beforeAutospacing="0" w:afterAutospacing="0"/>
              <w:jc w:val="center"/>
              <w:rPr>
                <w:rFonts w:ascii="Times New Roman" w:hAnsi="Times New Roman"/>
                <w:sz w:val="18"/>
                <w:szCs w:val="18"/>
              </w:rPr>
            </w:pPr>
            <w:r>
              <w:rPr>
                <w:rFonts w:ascii="Times New Roman" w:hAnsi="Times New Roman"/>
                <w:sz w:val="18"/>
                <w:szCs w:val="18"/>
              </w:rPr>
              <w:t>人均实际GDP取对数</w:t>
            </w:r>
          </w:p>
        </w:tc>
      </w:tr>
      <w:tr w14:paraId="15E5F58D">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continue"/>
            <w:tcBorders>
              <w:top w:val="nil"/>
              <w:bottom w:val="nil"/>
            </w:tcBorders>
            <w:vAlign w:val="center"/>
          </w:tcPr>
          <w:p w14:paraId="54893AA1">
            <w:pPr>
              <w:pStyle w:val="8"/>
              <w:spacing w:beforeAutospacing="0" w:afterAutospacing="0"/>
              <w:jc w:val="center"/>
              <w:rPr>
                <w:rFonts w:ascii="Times New Roman" w:hAnsi="Times New Roman"/>
                <w:sz w:val="18"/>
                <w:szCs w:val="18"/>
              </w:rPr>
            </w:pPr>
          </w:p>
        </w:tc>
        <w:tc>
          <w:tcPr>
            <w:tcW w:w="1250" w:type="dxa"/>
            <w:tcBorders>
              <w:top w:val="nil"/>
              <w:bottom w:val="nil"/>
            </w:tcBorders>
            <w:vAlign w:val="center"/>
          </w:tcPr>
          <w:p w14:paraId="66E1ED5B">
            <w:pPr>
              <w:pStyle w:val="8"/>
              <w:spacing w:beforeAutospacing="0" w:afterAutospacing="0"/>
              <w:jc w:val="center"/>
              <w:rPr>
                <w:rFonts w:ascii="Times New Roman" w:hAnsi="Times New Roman"/>
                <w:sz w:val="18"/>
                <w:szCs w:val="18"/>
              </w:rPr>
            </w:pPr>
            <w:r>
              <w:rPr>
                <w:rFonts w:ascii="Times New Roman" w:hAnsi="Times New Roman"/>
                <w:sz w:val="18"/>
                <w:szCs w:val="18"/>
              </w:rPr>
              <w:t>indu</w:t>
            </w:r>
          </w:p>
        </w:tc>
        <w:tc>
          <w:tcPr>
            <w:tcW w:w="1810" w:type="dxa"/>
            <w:tcBorders>
              <w:top w:val="nil"/>
              <w:bottom w:val="nil"/>
            </w:tcBorders>
            <w:vAlign w:val="center"/>
          </w:tcPr>
          <w:p w14:paraId="487236EF">
            <w:pPr>
              <w:pStyle w:val="8"/>
              <w:spacing w:beforeAutospacing="0" w:afterAutospacing="0"/>
              <w:jc w:val="center"/>
              <w:rPr>
                <w:rFonts w:ascii="Times New Roman" w:hAnsi="Times New Roman"/>
                <w:sz w:val="18"/>
                <w:szCs w:val="18"/>
              </w:rPr>
            </w:pPr>
            <w:r>
              <w:rPr>
                <w:rFonts w:ascii="Times New Roman" w:hAnsi="Times New Roman"/>
                <w:sz w:val="18"/>
                <w:szCs w:val="18"/>
              </w:rPr>
              <w:t>产业结构</w:t>
            </w:r>
          </w:p>
        </w:tc>
        <w:tc>
          <w:tcPr>
            <w:tcW w:w="3962" w:type="dxa"/>
            <w:tcBorders>
              <w:top w:val="nil"/>
              <w:bottom w:val="nil"/>
            </w:tcBorders>
            <w:vAlign w:val="center"/>
          </w:tcPr>
          <w:p w14:paraId="168E4C8F">
            <w:pPr>
              <w:pStyle w:val="8"/>
              <w:spacing w:beforeAutospacing="0" w:afterAutospacing="0"/>
              <w:jc w:val="center"/>
              <w:rPr>
                <w:rFonts w:ascii="Times New Roman" w:hAnsi="Times New Roman"/>
                <w:sz w:val="18"/>
                <w:szCs w:val="18"/>
              </w:rPr>
            </w:pPr>
            <w:r>
              <w:rPr>
                <w:rFonts w:ascii="Times New Roman" w:hAnsi="Times New Roman"/>
                <w:sz w:val="18"/>
                <w:szCs w:val="18"/>
              </w:rPr>
              <w:t>非农产业增加值/GDP</w:t>
            </w:r>
          </w:p>
        </w:tc>
      </w:tr>
      <w:tr w14:paraId="2AAC9969">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continue"/>
            <w:tcBorders>
              <w:top w:val="nil"/>
              <w:bottom w:val="nil"/>
            </w:tcBorders>
            <w:vAlign w:val="center"/>
          </w:tcPr>
          <w:p w14:paraId="1A8A82C8">
            <w:pPr>
              <w:pStyle w:val="8"/>
              <w:spacing w:beforeAutospacing="0" w:afterAutospacing="0"/>
              <w:jc w:val="center"/>
              <w:rPr>
                <w:rFonts w:ascii="Times New Roman" w:hAnsi="Times New Roman"/>
                <w:sz w:val="18"/>
                <w:szCs w:val="18"/>
              </w:rPr>
            </w:pPr>
          </w:p>
        </w:tc>
        <w:tc>
          <w:tcPr>
            <w:tcW w:w="1250" w:type="dxa"/>
            <w:tcBorders>
              <w:top w:val="nil"/>
              <w:bottom w:val="nil"/>
            </w:tcBorders>
            <w:vAlign w:val="center"/>
          </w:tcPr>
          <w:p w14:paraId="1AA94CE5">
            <w:pPr>
              <w:pStyle w:val="8"/>
              <w:spacing w:beforeAutospacing="0" w:afterAutospacing="0"/>
              <w:jc w:val="center"/>
              <w:rPr>
                <w:rFonts w:ascii="Times New Roman" w:hAnsi="Times New Roman"/>
                <w:sz w:val="18"/>
                <w:szCs w:val="18"/>
              </w:rPr>
            </w:pPr>
            <w:r>
              <w:rPr>
                <w:rFonts w:ascii="Times New Roman" w:hAnsi="Times New Roman"/>
                <w:sz w:val="18"/>
                <w:szCs w:val="18"/>
              </w:rPr>
              <w:t>peop</w:t>
            </w:r>
          </w:p>
        </w:tc>
        <w:tc>
          <w:tcPr>
            <w:tcW w:w="1810" w:type="dxa"/>
            <w:tcBorders>
              <w:top w:val="nil"/>
              <w:bottom w:val="nil"/>
            </w:tcBorders>
            <w:vAlign w:val="center"/>
          </w:tcPr>
          <w:p w14:paraId="18AFD8DE">
            <w:pPr>
              <w:pStyle w:val="8"/>
              <w:spacing w:beforeAutospacing="0" w:afterAutospacing="0"/>
              <w:jc w:val="center"/>
              <w:rPr>
                <w:rFonts w:ascii="Times New Roman" w:hAnsi="Times New Roman"/>
                <w:sz w:val="18"/>
                <w:szCs w:val="18"/>
              </w:rPr>
            </w:pPr>
            <w:r>
              <w:rPr>
                <w:rFonts w:ascii="Times New Roman" w:hAnsi="Times New Roman"/>
                <w:sz w:val="18"/>
                <w:szCs w:val="18"/>
              </w:rPr>
              <w:t>人口规模</w:t>
            </w:r>
          </w:p>
        </w:tc>
        <w:tc>
          <w:tcPr>
            <w:tcW w:w="3962" w:type="dxa"/>
            <w:tcBorders>
              <w:top w:val="nil"/>
              <w:bottom w:val="nil"/>
            </w:tcBorders>
            <w:vAlign w:val="center"/>
          </w:tcPr>
          <w:p w14:paraId="7B590CD7">
            <w:pPr>
              <w:pStyle w:val="8"/>
              <w:spacing w:beforeAutospacing="0" w:afterAutospacing="0"/>
              <w:jc w:val="center"/>
              <w:rPr>
                <w:rFonts w:ascii="Times New Roman" w:hAnsi="Times New Roman"/>
                <w:sz w:val="18"/>
                <w:szCs w:val="18"/>
              </w:rPr>
            </w:pPr>
            <w:r>
              <w:rPr>
                <w:rFonts w:ascii="Times New Roman" w:hAnsi="Times New Roman"/>
                <w:sz w:val="18"/>
                <w:szCs w:val="18"/>
              </w:rPr>
              <w:t>地区人口总数取对数</w:t>
            </w:r>
          </w:p>
        </w:tc>
      </w:tr>
      <w:tr w14:paraId="6A7DE992">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continue"/>
            <w:tcBorders>
              <w:top w:val="nil"/>
              <w:bottom w:val="nil"/>
            </w:tcBorders>
            <w:vAlign w:val="center"/>
          </w:tcPr>
          <w:p w14:paraId="7855AB0E">
            <w:pPr>
              <w:pStyle w:val="8"/>
              <w:spacing w:beforeAutospacing="0" w:afterAutospacing="0"/>
              <w:jc w:val="center"/>
              <w:rPr>
                <w:rFonts w:ascii="Times New Roman" w:hAnsi="Times New Roman"/>
                <w:sz w:val="18"/>
                <w:szCs w:val="18"/>
              </w:rPr>
            </w:pPr>
          </w:p>
        </w:tc>
        <w:tc>
          <w:tcPr>
            <w:tcW w:w="1250" w:type="dxa"/>
            <w:tcBorders>
              <w:top w:val="nil"/>
              <w:bottom w:val="nil"/>
            </w:tcBorders>
            <w:vAlign w:val="center"/>
          </w:tcPr>
          <w:p w14:paraId="2364EE0E">
            <w:pPr>
              <w:pStyle w:val="8"/>
              <w:spacing w:beforeAutospacing="0" w:afterAutospacing="0"/>
              <w:jc w:val="center"/>
              <w:rPr>
                <w:rFonts w:ascii="Times New Roman" w:hAnsi="Times New Roman"/>
                <w:sz w:val="18"/>
                <w:szCs w:val="18"/>
              </w:rPr>
            </w:pPr>
            <w:r>
              <w:rPr>
                <w:rFonts w:ascii="Times New Roman" w:hAnsi="Times New Roman"/>
                <w:sz w:val="18"/>
                <w:szCs w:val="18"/>
              </w:rPr>
              <w:t>fore</w:t>
            </w:r>
          </w:p>
        </w:tc>
        <w:tc>
          <w:tcPr>
            <w:tcW w:w="1810" w:type="dxa"/>
            <w:tcBorders>
              <w:top w:val="nil"/>
              <w:bottom w:val="nil"/>
            </w:tcBorders>
            <w:vAlign w:val="center"/>
          </w:tcPr>
          <w:p w14:paraId="40594889">
            <w:pPr>
              <w:pStyle w:val="8"/>
              <w:spacing w:beforeAutospacing="0" w:afterAutospacing="0"/>
              <w:jc w:val="center"/>
              <w:rPr>
                <w:rFonts w:ascii="Times New Roman" w:hAnsi="Times New Roman"/>
                <w:sz w:val="18"/>
                <w:szCs w:val="18"/>
              </w:rPr>
            </w:pPr>
            <w:r>
              <w:rPr>
                <w:rFonts w:ascii="Times New Roman" w:hAnsi="Times New Roman"/>
                <w:sz w:val="18"/>
                <w:szCs w:val="18"/>
              </w:rPr>
              <w:t>对外开放水平</w:t>
            </w:r>
          </w:p>
        </w:tc>
        <w:tc>
          <w:tcPr>
            <w:tcW w:w="3962" w:type="dxa"/>
            <w:tcBorders>
              <w:top w:val="nil"/>
              <w:bottom w:val="nil"/>
            </w:tcBorders>
            <w:vAlign w:val="center"/>
          </w:tcPr>
          <w:p w14:paraId="6B35405F">
            <w:pPr>
              <w:pStyle w:val="8"/>
              <w:spacing w:beforeAutospacing="0" w:afterAutospacing="0"/>
              <w:jc w:val="center"/>
              <w:rPr>
                <w:rFonts w:ascii="Times New Roman" w:hAnsi="Times New Roman"/>
                <w:sz w:val="18"/>
                <w:szCs w:val="18"/>
              </w:rPr>
            </w:pPr>
            <w:r>
              <w:rPr>
                <w:rFonts w:ascii="Times New Roman" w:hAnsi="Times New Roman"/>
                <w:sz w:val="18"/>
                <w:szCs w:val="18"/>
              </w:rPr>
              <w:t>外商投资总额/GDP</w:t>
            </w:r>
          </w:p>
        </w:tc>
      </w:tr>
      <w:tr w14:paraId="67E7226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continue"/>
            <w:tcBorders>
              <w:top w:val="nil"/>
              <w:bottom w:val="nil"/>
            </w:tcBorders>
            <w:vAlign w:val="center"/>
          </w:tcPr>
          <w:p w14:paraId="4064CB5A">
            <w:pPr>
              <w:pStyle w:val="8"/>
              <w:spacing w:beforeAutospacing="0" w:afterAutospacing="0"/>
              <w:jc w:val="center"/>
              <w:rPr>
                <w:rFonts w:ascii="Times New Roman" w:hAnsi="Times New Roman"/>
                <w:sz w:val="18"/>
                <w:szCs w:val="18"/>
              </w:rPr>
            </w:pPr>
          </w:p>
        </w:tc>
        <w:tc>
          <w:tcPr>
            <w:tcW w:w="1250" w:type="dxa"/>
            <w:tcBorders>
              <w:top w:val="nil"/>
              <w:bottom w:val="nil"/>
            </w:tcBorders>
            <w:vAlign w:val="center"/>
          </w:tcPr>
          <w:p w14:paraId="29C6303A">
            <w:pPr>
              <w:pStyle w:val="8"/>
              <w:spacing w:beforeAutospacing="0" w:afterAutospacing="0"/>
              <w:jc w:val="center"/>
              <w:rPr>
                <w:rFonts w:ascii="Cambria Math" w:hAnsi="Cambria Math"/>
                <w:sz w:val="18"/>
                <w:szCs w:val="18"/>
                <w:oMath/>
              </w:rPr>
            </w:pPr>
            <w:r>
              <w:rPr>
                <w:rFonts w:ascii="Times New Roman" w:hAnsi="Times New Roman"/>
                <w:sz w:val="18"/>
                <w:szCs w:val="18"/>
              </w:rPr>
              <w:t>pub</w:t>
            </w:r>
          </w:p>
        </w:tc>
        <w:tc>
          <w:tcPr>
            <w:tcW w:w="1810" w:type="dxa"/>
            <w:tcBorders>
              <w:top w:val="nil"/>
              <w:bottom w:val="nil"/>
            </w:tcBorders>
            <w:vAlign w:val="center"/>
          </w:tcPr>
          <w:p w14:paraId="5B46A5F6">
            <w:pPr>
              <w:pStyle w:val="8"/>
              <w:spacing w:beforeAutospacing="0" w:afterAutospacing="0"/>
              <w:jc w:val="center"/>
              <w:rPr>
                <w:rFonts w:ascii="Times New Roman" w:hAnsi="Times New Roman"/>
                <w:sz w:val="18"/>
                <w:szCs w:val="18"/>
              </w:rPr>
            </w:pPr>
            <w:r>
              <w:rPr>
                <w:rFonts w:ascii="Times New Roman" w:hAnsi="Times New Roman"/>
                <w:sz w:val="18"/>
                <w:szCs w:val="18"/>
              </w:rPr>
              <w:t>一般公共服务水平</w:t>
            </w:r>
          </w:p>
        </w:tc>
        <w:tc>
          <w:tcPr>
            <w:tcW w:w="3962" w:type="dxa"/>
            <w:tcBorders>
              <w:top w:val="nil"/>
              <w:bottom w:val="nil"/>
            </w:tcBorders>
            <w:vAlign w:val="center"/>
          </w:tcPr>
          <w:p w14:paraId="0F13ADF5">
            <w:pPr>
              <w:pStyle w:val="8"/>
              <w:spacing w:beforeAutospacing="0" w:afterAutospacing="0"/>
              <w:jc w:val="center"/>
              <w:rPr>
                <w:rFonts w:ascii="Times New Roman" w:hAnsi="Times New Roman"/>
                <w:sz w:val="18"/>
                <w:szCs w:val="18"/>
              </w:rPr>
            </w:pPr>
            <w:r>
              <w:rPr>
                <w:rFonts w:ascii="Times New Roman" w:hAnsi="Times New Roman"/>
                <w:sz w:val="18"/>
                <w:szCs w:val="18"/>
              </w:rPr>
              <w:t>一般公共服务支出/财政总支出</w:t>
            </w:r>
          </w:p>
        </w:tc>
      </w:tr>
      <w:tr w14:paraId="73D0B99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continue"/>
            <w:tcBorders>
              <w:top w:val="nil"/>
              <w:bottom w:val="nil"/>
            </w:tcBorders>
            <w:vAlign w:val="center"/>
          </w:tcPr>
          <w:p w14:paraId="55D15CA6">
            <w:pPr>
              <w:pStyle w:val="8"/>
              <w:spacing w:beforeAutospacing="0" w:afterAutospacing="0"/>
              <w:jc w:val="center"/>
              <w:rPr>
                <w:rFonts w:ascii="Times New Roman" w:hAnsi="Times New Roman"/>
                <w:sz w:val="18"/>
                <w:szCs w:val="18"/>
              </w:rPr>
            </w:pPr>
          </w:p>
        </w:tc>
        <w:tc>
          <w:tcPr>
            <w:tcW w:w="1250" w:type="dxa"/>
            <w:tcBorders>
              <w:top w:val="nil"/>
              <w:bottom w:val="nil"/>
            </w:tcBorders>
            <w:vAlign w:val="center"/>
          </w:tcPr>
          <w:p w14:paraId="405E8BFB">
            <w:pPr>
              <w:pStyle w:val="8"/>
              <w:spacing w:beforeAutospacing="0" w:afterAutospacing="0"/>
              <w:jc w:val="center"/>
              <w:rPr>
                <w:rFonts w:ascii="Cambria Math" w:hAnsi="Cambria Math"/>
                <w:sz w:val="18"/>
                <w:szCs w:val="18"/>
                <w:oMath/>
              </w:rPr>
            </w:pPr>
            <w:r>
              <w:rPr>
                <w:rFonts w:ascii="Times New Roman" w:hAnsi="Times New Roman"/>
                <w:sz w:val="18"/>
                <w:szCs w:val="18"/>
              </w:rPr>
              <w:t>sci</w:t>
            </w:r>
          </w:p>
        </w:tc>
        <w:tc>
          <w:tcPr>
            <w:tcW w:w="1810" w:type="dxa"/>
            <w:tcBorders>
              <w:top w:val="nil"/>
              <w:bottom w:val="nil"/>
            </w:tcBorders>
            <w:vAlign w:val="center"/>
          </w:tcPr>
          <w:p w14:paraId="518A9BA7">
            <w:pPr>
              <w:pStyle w:val="8"/>
              <w:spacing w:beforeAutospacing="0" w:afterAutospacing="0"/>
              <w:jc w:val="center"/>
              <w:rPr>
                <w:rFonts w:ascii="Times New Roman" w:hAnsi="Times New Roman"/>
                <w:sz w:val="18"/>
                <w:szCs w:val="18"/>
              </w:rPr>
            </w:pPr>
            <w:r>
              <w:rPr>
                <w:rFonts w:ascii="Times New Roman" w:hAnsi="Times New Roman"/>
                <w:sz w:val="18"/>
                <w:szCs w:val="18"/>
              </w:rPr>
              <w:t>科学发展水平</w:t>
            </w:r>
          </w:p>
        </w:tc>
        <w:tc>
          <w:tcPr>
            <w:tcW w:w="3962" w:type="dxa"/>
            <w:tcBorders>
              <w:top w:val="nil"/>
              <w:bottom w:val="nil"/>
            </w:tcBorders>
            <w:vAlign w:val="center"/>
          </w:tcPr>
          <w:p w14:paraId="055D096C">
            <w:pPr>
              <w:pStyle w:val="8"/>
              <w:spacing w:beforeAutospacing="0" w:afterAutospacing="0"/>
              <w:jc w:val="center"/>
              <w:rPr>
                <w:rFonts w:ascii="Times New Roman" w:hAnsi="Times New Roman"/>
                <w:sz w:val="18"/>
                <w:szCs w:val="18"/>
              </w:rPr>
            </w:pPr>
            <w:r>
              <w:rPr>
                <w:rFonts w:ascii="Times New Roman" w:hAnsi="Times New Roman"/>
                <w:sz w:val="18"/>
                <w:szCs w:val="18"/>
              </w:rPr>
              <w:t>科学技术支出/财政总支出</w:t>
            </w:r>
          </w:p>
        </w:tc>
      </w:tr>
      <w:tr w14:paraId="4C9B118F">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continue"/>
            <w:tcBorders>
              <w:top w:val="nil"/>
              <w:bottom w:val="nil"/>
            </w:tcBorders>
            <w:vAlign w:val="center"/>
          </w:tcPr>
          <w:p w14:paraId="3B0A60DA">
            <w:pPr>
              <w:pStyle w:val="8"/>
              <w:spacing w:beforeAutospacing="0" w:afterAutospacing="0"/>
              <w:jc w:val="center"/>
              <w:rPr>
                <w:rFonts w:ascii="Times New Roman" w:hAnsi="Times New Roman"/>
                <w:sz w:val="18"/>
                <w:szCs w:val="18"/>
              </w:rPr>
            </w:pPr>
          </w:p>
        </w:tc>
        <w:tc>
          <w:tcPr>
            <w:tcW w:w="1250" w:type="dxa"/>
            <w:tcBorders>
              <w:top w:val="nil"/>
              <w:bottom w:val="nil"/>
            </w:tcBorders>
            <w:vAlign w:val="center"/>
          </w:tcPr>
          <w:p w14:paraId="3CC069B1">
            <w:pPr>
              <w:pStyle w:val="8"/>
              <w:spacing w:beforeAutospacing="0" w:afterAutospacing="0"/>
              <w:jc w:val="center"/>
              <w:rPr>
                <w:rFonts w:ascii="Cambria Math" w:hAnsi="Cambria Math"/>
                <w:sz w:val="18"/>
                <w:szCs w:val="18"/>
                <w:oMath/>
              </w:rPr>
            </w:pPr>
            <w:r>
              <w:rPr>
                <w:rFonts w:ascii="Times New Roman" w:hAnsi="Times New Roman"/>
                <w:sz w:val="18"/>
                <w:szCs w:val="18"/>
              </w:rPr>
              <w:t>edu</w:t>
            </w:r>
          </w:p>
        </w:tc>
        <w:tc>
          <w:tcPr>
            <w:tcW w:w="1810" w:type="dxa"/>
            <w:tcBorders>
              <w:top w:val="nil"/>
              <w:bottom w:val="nil"/>
            </w:tcBorders>
            <w:vAlign w:val="center"/>
          </w:tcPr>
          <w:p w14:paraId="79524546">
            <w:pPr>
              <w:pStyle w:val="8"/>
              <w:spacing w:beforeAutospacing="0" w:afterAutospacing="0"/>
              <w:jc w:val="center"/>
              <w:rPr>
                <w:rFonts w:ascii="Times New Roman" w:hAnsi="Times New Roman"/>
                <w:sz w:val="18"/>
                <w:szCs w:val="18"/>
              </w:rPr>
            </w:pPr>
            <w:r>
              <w:rPr>
                <w:rFonts w:ascii="Times New Roman" w:hAnsi="Times New Roman"/>
                <w:sz w:val="18"/>
                <w:szCs w:val="18"/>
              </w:rPr>
              <w:t>教育投入力度</w:t>
            </w:r>
          </w:p>
        </w:tc>
        <w:tc>
          <w:tcPr>
            <w:tcW w:w="3962" w:type="dxa"/>
            <w:tcBorders>
              <w:top w:val="nil"/>
              <w:bottom w:val="nil"/>
            </w:tcBorders>
            <w:vAlign w:val="center"/>
          </w:tcPr>
          <w:p w14:paraId="484230EE">
            <w:pPr>
              <w:pStyle w:val="8"/>
              <w:spacing w:beforeAutospacing="0" w:afterAutospacing="0"/>
              <w:jc w:val="center"/>
              <w:rPr>
                <w:rFonts w:ascii="Times New Roman" w:hAnsi="Times New Roman"/>
                <w:sz w:val="18"/>
                <w:szCs w:val="18"/>
              </w:rPr>
            </w:pPr>
            <w:r>
              <w:rPr>
                <w:rFonts w:ascii="Times New Roman" w:hAnsi="Times New Roman"/>
                <w:sz w:val="18"/>
                <w:szCs w:val="18"/>
              </w:rPr>
              <w:t>教育支出/财政总支出</w:t>
            </w:r>
          </w:p>
        </w:tc>
      </w:tr>
      <w:tr w14:paraId="4E67BBA4">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continue"/>
            <w:tcBorders>
              <w:top w:val="nil"/>
              <w:bottom w:val="nil"/>
            </w:tcBorders>
            <w:vAlign w:val="center"/>
          </w:tcPr>
          <w:p w14:paraId="646BDF0F">
            <w:pPr>
              <w:pStyle w:val="8"/>
              <w:spacing w:beforeAutospacing="0" w:afterAutospacing="0"/>
              <w:jc w:val="center"/>
              <w:rPr>
                <w:rFonts w:ascii="Times New Roman" w:hAnsi="Times New Roman"/>
                <w:sz w:val="18"/>
                <w:szCs w:val="18"/>
              </w:rPr>
            </w:pPr>
          </w:p>
        </w:tc>
        <w:tc>
          <w:tcPr>
            <w:tcW w:w="1250" w:type="dxa"/>
            <w:tcBorders>
              <w:top w:val="nil"/>
              <w:bottom w:val="nil"/>
            </w:tcBorders>
            <w:vAlign w:val="center"/>
          </w:tcPr>
          <w:p w14:paraId="6E69A458">
            <w:pPr>
              <w:pStyle w:val="8"/>
              <w:spacing w:beforeAutospacing="0" w:afterAutospacing="0"/>
              <w:jc w:val="center"/>
              <w:rPr>
                <w:rFonts w:ascii="Cambria Math" w:hAnsi="Cambria Math"/>
                <w:sz w:val="18"/>
                <w:szCs w:val="18"/>
                <w:oMath/>
              </w:rPr>
            </w:pPr>
            <w:r>
              <w:rPr>
                <w:rFonts w:ascii="Times New Roman" w:hAnsi="Times New Roman"/>
                <w:sz w:val="18"/>
                <w:szCs w:val="18"/>
              </w:rPr>
              <w:t>aff</w:t>
            </w:r>
          </w:p>
        </w:tc>
        <w:tc>
          <w:tcPr>
            <w:tcW w:w="1810" w:type="dxa"/>
            <w:tcBorders>
              <w:top w:val="nil"/>
              <w:bottom w:val="nil"/>
            </w:tcBorders>
            <w:vAlign w:val="center"/>
          </w:tcPr>
          <w:p w14:paraId="192BB1FC">
            <w:pPr>
              <w:pStyle w:val="8"/>
              <w:spacing w:beforeAutospacing="0" w:afterAutospacing="0"/>
              <w:jc w:val="center"/>
              <w:rPr>
                <w:rFonts w:ascii="Times New Roman" w:hAnsi="Times New Roman"/>
                <w:sz w:val="18"/>
                <w:szCs w:val="18"/>
              </w:rPr>
            </w:pPr>
            <w:r>
              <w:rPr>
                <w:rFonts w:ascii="Times New Roman" w:hAnsi="Times New Roman"/>
                <w:sz w:val="18"/>
                <w:szCs w:val="18"/>
              </w:rPr>
              <w:t>农林水事务支出</w:t>
            </w:r>
          </w:p>
        </w:tc>
        <w:tc>
          <w:tcPr>
            <w:tcW w:w="3962" w:type="dxa"/>
            <w:tcBorders>
              <w:top w:val="nil"/>
              <w:bottom w:val="nil"/>
            </w:tcBorders>
            <w:vAlign w:val="center"/>
          </w:tcPr>
          <w:p w14:paraId="6B97E984">
            <w:pPr>
              <w:pStyle w:val="8"/>
              <w:spacing w:beforeAutospacing="0" w:afterAutospacing="0"/>
              <w:jc w:val="center"/>
              <w:rPr>
                <w:rFonts w:ascii="Times New Roman" w:hAnsi="Times New Roman"/>
                <w:sz w:val="18"/>
                <w:szCs w:val="18"/>
              </w:rPr>
            </w:pPr>
            <w:r>
              <w:rPr>
                <w:rFonts w:ascii="Times New Roman" w:hAnsi="Times New Roman"/>
                <w:sz w:val="18"/>
                <w:szCs w:val="18"/>
              </w:rPr>
              <w:t>农林水事务支出/财政总支出</w:t>
            </w:r>
          </w:p>
        </w:tc>
      </w:tr>
      <w:tr w14:paraId="3CD3B770">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274" w:type="dxa"/>
            <w:vMerge w:val="continue"/>
            <w:tcBorders>
              <w:top w:val="nil"/>
              <w:bottom w:val="single" w:color="auto" w:sz="6" w:space="0"/>
            </w:tcBorders>
            <w:vAlign w:val="center"/>
          </w:tcPr>
          <w:p w14:paraId="653E73F5">
            <w:pPr>
              <w:pStyle w:val="8"/>
              <w:spacing w:beforeAutospacing="0" w:afterAutospacing="0"/>
              <w:jc w:val="center"/>
              <w:rPr>
                <w:rFonts w:ascii="Times New Roman" w:hAnsi="Times New Roman"/>
                <w:sz w:val="18"/>
                <w:szCs w:val="18"/>
              </w:rPr>
            </w:pPr>
          </w:p>
        </w:tc>
        <w:tc>
          <w:tcPr>
            <w:tcW w:w="1250" w:type="dxa"/>
            <w:tcBorders>
              <w:top w:val="nil"/>
              <w:bottom w:val="single" w:color="auto" w:sz="6" w:space="0"/>
            </w:tcBorders>
            <w:vAlign w:val="center"/>
          </w:tcPr>
          <w:p w14:paraId="65566F3D">
            <w:pPr>
              <w:pStyle w:val="8"/>
              <w:spacing w:beforeAutospacing="0" w:afterAutospacing="0"/>
              <w:jc w:val="center"/>
              <w:rPr>
                <w:rFonts w:ascii="Times New Roman" w:hAnsi="Times New Roman"/>
                <w:sz w:val="18"/>
                <w:szCs w:val="18"/>
              </w:rPr>
            </w:pPr>
            <w:r>
              <w:rPr>
                <w:rFonts w:ascii="Times New Roman" w:hAnsi="Times New Roman"/>
                <w:sz w:val="18"/>
                <w:szCs w:val="18"/>
              </w:rPr>
              <w:t>road</w:t>
            </w:r>
          </w:p>
        </w:tc>
        <w:tc>
          <w:tcPr>
            <w:tcW w:w="1810" w:type="dxa"/>
            <w:tcBorders>
              <w:top w:val="nil"/>
              <w:bottom w:val="single" w:color="auto" w:sz="6" w:space="0"/>
            </w:tcBorders>
            <w:vAlign w:val="center"/>
          </w:tcPr>
          <w:p w14:paraId="42BC7E16">
            <w:pPr>
              <w:pStyle w:val="8"/>
              <w:spacing w:beforeAutospacing="0" w:afterAutospacing="0"/>
              <w:jc w:val="center"/>
              <w:rPr>
                <w:rFonts w:ascii="Times New Roman" w:hAnsi="Times New Roman"/>
                <w:sz w:val="18"/>
                <w:szCs w:val="18"/>
              </w:rPr>
            </w:pPr>
            <w:r>
              <w:rPr>
                <w:rFonts w:ascii="Times New Roman" w:hAnsi="Times New Roman"/>
                <w:sz w:val="18"/>
                <w:szCs w:val="18"/>
              </w:rPr>
              <w:t>基础设施水平</w:t>
            </w:r>
          </w:p>
        </w:tc>
        <w:tc>
          <w:tcPr>
            <w:tcW w:w="3962" w:type="dxa"/>
            <w:tcBorders>
              <w:top w:val="nil"/>
              <w:bottom w:val="single" w:color="auto" w:sz="6" w:space="0"/>
            </w:tcBorders>
            <w:vAlign w:val="center"/>
          </w:tcPr>
          <w:p w14:paraId="169E481F">
            <w:pPr>
              <w:pStyle w:val="8"/>
              <w:spacing w:beforeAutospacing="0" w:afterAutospacing="0"/>
              <w:jc w:val="center"/>
              <w:rPr>
                <w:rFonts w:ascii="Times New Roman" w:hAnsi="Times New Roman"/>
                <w:sz w:val="18"/>
                <w:szCs w:val="18"/>
              </w:rPr>
            </w:pPr>
            <w:r>
              <w:rPr>
                <w:rFonts w:ascii="Times New Roman" w:hAnsi="Times New Roman"/>
                <w:sz w:val="18"/>
                <w:szCs w:val="18"/>
              </w:rPr>
              <w:t>各省公路里程数取对数</w:t>
            </w:r>
          </w:p>
        </w:tc>
      </w:tr>
    </w:tbl>
    <w:p w14:paraId="04793806">
      <w:pPr>
        <w:spacing w:line="300" w:lineRule="auto"/>
      </w:pPr>
    </w:p>
    <w:p w14:paraId="6816130D">
      <w:pPr>
        <w:spacing w:line="300" w:lineRule="auto"/>
        <w:ind w:firstLine="422" w:firstLineChars="200"/>
      </w:pPr>
      <w:r>
        <w:rPr>
          <w:rFonts w:ascii="Times New Roman" w:hAnsi="Times New Roman" w:cs="Times New Roman"/>
          <w:b/>
          <w:bCs/>
        </w:rPr>
        <w:t>1.</w:t>
      </w:r>
      <w:r>
        <w:rPr>
          <w:rFonts w:hint="eastAsia"/>
          <w:b/>
          <w:bCs/>
        </w:rPr>
        <w:t>被解释变量</w:t>
      </w:r>
      <w:r>
        <w:rPr>
          <w:rFonts w:hint="eastAsia"/>
        </w:rPr>
        <w:t>。本文的被解释变量是二元经济结</w:t>
      </w:r>
      <w:r>
        <w:rPr>
          <w:rFonts w:hint="eastAsia" w:ascii="Times New Roman" w:hAnsi="Times New Roman" w:cs="Times New Roman"/>
        </w:rPr>
        <w:t>构</w:t>
      </w:r>
      <w:r>
        <w:rPr>
          <w:rFonts w:ascii="Times New Roman" w:hAnsi="Times New Roman" w:cs="Times New Roman"/>
        </w:rPr>
        <w:t>（stru）</w:t>
      </w:r>
      <w:r>
        <w:rPr>
          <w:rFonts w:hint="eastAsia" w:ascii="Times New Roman" w:hAnsi="Times New Roman" w:cs="Times New Roman"/>
        </w:rPr>
        <w:t>，借鉴大部分文献的做法</w:t>
      </w:r>
      <w:r>
        <w:rPr>
          <w:rFonts w:hint="eastAsia"/>
        </w:rPr>
        <w:t>的做法，采用二元对比系数作为二元经济结构的代理变量</w:t>
      </w:r>
      <w:r>
        <w:rPr>
          <w:vertAlign w:val="superscript"/>
        </w:rPr>
        <w:t>[</w:t>
      </w:r>
      <w:r>
        <w:rPr>
          <w:rFonts w:hint="eastAsia"/>
          <w:vertAlign w:val="superscript"/>
          <w:lang w:val="en-US" w:eastAsia="zh-CN"/>
        </w:rPr>
        <w:t>18</w:t>
      </w:r>
      <w:r>
        <w:rPr>
          <w:vertAlign w:val="superscript"/>
        </w:rPr>
        <w:t>]</w:t>
      </w:r>
      <w:r>
        <w:rPr>
          <w:rFonts w:hint="eastAsia"/>
        </w:rPr>
        <w:t>。二元对比系数反映了农业与非农业比较劳动生产率之间差异，与二元经济结构成反比。</w:t>
      </w:r>
    </w:p>
    <w:p w14:paraId="4FAAC300">
      <w:pPr>
        <w:spacing w:line="300" w:lineRule="auto"/>
        <w:ind w:firstLine="422" w:firstLineChars="200"/>
      </w:pPr>
      <w:r>
        <w:rPr>
          <w:rFonts w:hint="eastAsia" w:ascii="Times New Roman" w:hAnsi="Times New Roman" w:cs="Times New Roman"/>
          <w:b/>
          <w:bCs/>
        </w:rPr>
        <w:t>2</w:t>
      </w:r>
      <w:r>
        <w:rPr>
          <w:rFonts w:hint="eastAsia"/>
          <w:b/>
          <w:bCs/>
        </w:rPr>
        <w:t>.解释变量</w:t>
      </w:r>
      <w:r>
        <w:rPr>
          <w:rFonts w:hint="eastAsia"/>
        </w:rPr>
        <w:t>。基准模型检验部分的解释变量包含农业现代化</w:t>
      </w:r>
      <w:r>
        <w:rPr>
          <w:rFonts w:ascii="Times New Roman" w:hAnsi="Times New Roman" w:cs="Times New Roman"/>
        </w:rPr>
        <w:t>（agr）</w:t>
      </w:r>
      <w:r>
        <w:rPr>
          <w:rFonts w:hint="eastAsia" w:ascii="Times New Roman" w:hAnsi="Times New Roman" w:cs="Times New Roman"/>
        </w:rPr>
        <w:t>和劳动力转移</w:t>
      </w:r>
      <w:r>
        <w:rPr>
          <w:rFonts w:ascii="Times New Roman" w:hAnsi="Times New Roman" w:cs="Times New Roman"/>
        </w:rPr>
        <w:t>（tran）</w:t>
      </w:r>
      <w:r>
        <w:rPr>
          <w:rFonts w:hint="eastAsia" w:ascii="Times New Roman" w:hAnsi="Times New Roman" w:cs="Times New Roman"/>
        </w:rPr>
        <w:t>。农业现代化指标借鉴王贝的做法，采用农业部门劳动生产率</w:t>
      </w:r>
      <w:r>
        <w:rPr>
          <w:rFonts w:hint="eastAsia"/>
        </w:rPr>
        <w:t>衡量</w:t>
      </w:r>
      <w:r>
        <w:rPr>
          <w:vertAlign w:val="superscript"/>
        </w:rPr>
        <w:t>[</w:t>
      </w:r>
      <w:r>
        <w:rPr>
          <w:rFonts w:hint="eastAsia"/>
          <w:vertAlign w:val="superscript"/>
          <w:lang w:val="en-US" w:eastAsia="zh-CN"/>
        </w:rPr>
        <w:t>19</w:t>
      </w:r>
      <w:r>
        <w:rPr>
          <w:vertAlign w:val="superscript"/>
        </w:rPr>
        <w:t>]</w:t>
      </w:r>
      <w:r>
        <w:rPr>
          <w:rFonts w:hint="eastAsia"/>
        </w:rPr>
        <w:t>，劳动力转移借鉴部分文献做法</w:t>
      </w:r>
      <w:r>
        <w:rPr>
          <w:rFonts w:hint="eastAsia" w:ascii="Times New Roman" w:hAnsi="Times New Roman" w:cs="Times New Roman"/>
        </w:rPr>
        <w:t>，采</w:t>
      </w:r>
      <w:r>
        <w:rPr>
          <w:rFonts w:hint="eastAsia"/>
        </w:rPr>
        <w:t>用乡村农业人员与农林牧渔业从业人员的差值表示，该值越大表示农业劳动力转移越多</w:t>
      </w:r>
      <w:r>
        <w:rPr>
          <w:vertAlign w:val="superscript"/>
        </w:rPr>
        <w:t>[</w:t>
      </w:r>
      <w:r>
        <w:rPr>
          <w:rFonts w:hint="eastAsia"/>
          <w:vertAlign w:val="superscript"/>
          <w:lang w:val="en-US" w:eastAsia="zh-CN"/>
        </w:rPr>
        <w:t>20</w:t>
      </w:r>
      <w:r>
        <w:rPr>
          <w:vertAlign w:val="superscript"/>
        </w:rPr>
        <w:t>]</w:t>
      </w:r>
      <w:r>
        <w:rPr>
          <w:rFonts w:hint="eastAsia"/>
        </w:rPr>
        <w:t>。</w:t>
      </w:r>
    </w:p>
    <w:p w14:paraId="1C0C4157">
      <w:pPr>
        <w:spacing w:line="300" w:lineRule="auto"/>
        <w:ind w:firstLine="422" w:firstLineChars="200"/>
      </w:pPr>
      <w:r>
        <w:rPr>
          <w:rFonts w:hint="eastAsia" w:ascii="Times New Roman" w:hAnsi="Times New Roman" w:cs="Times New Roman"/>
          <w:b/>
          <w:bCs/>
        </w:rPr>
        <w:t>3.</w:t>
      </w:r>
      <w:r>
        <w:rPr>
          <w:rFonts w:hint="eastAsia"/>
          <w:b/>
          <w:bCs/>
        </w:rPr>
        <w:t>控制变量</w:t>
      </w:r>
      <w:r>
        <w:rPr>
          <w:rFonts w:hint="eastAsia"/>
        </w:rPr>
        <w:t>。基于现有文献，本文控制了其他可能影响二元经济结构的变量：经济发展水平变量，选取各省人均生产总值进行衡量，并对此数据</w:t>
      </w:r>
      <w:r>
        <w:rPr>
          <w:rFonts w:hint="eastAsia" w:ascii="Times New Roman" w:hAnsi="Times New Roman" w:cs="Times New Roman"/>
        </w:rPr>
        <w:t>以1995年</w:t>
      </w:r>
      <w:r>
        <w:rPr>
          <w:rFonts w:hint="eastAsia"/>
        </w:rPr>
        <w:t>为基期进行通货膨胀处理；产业结构变量，产业结构优化意味着二三产业产值占比增大，因此本文采用非农产业产值占总生产总值的比重衡量；人口规模变量，采用各省年末人口总数的对数表示；对外开放水平变量，使用外商投资总额与国民生产总值的比值衡量，考虑到汇率变动，本文采用当年人民币对美元实际汇率进行换算，把美元单位换算成人民币单位；政府行为变量，考虑政府支出行为中一般公共服务支出、科学技术支出、教育支出和农林水事务支出对二元经济结构的影响较大，因此对这三个变量予以控制，分别使用三者支出额占地方财政总支出的比重表示；基础设施水平变量，采用各省年末公路里程数的对数进行测度。</w:t>
      </w:r>
    </w:p>
    <w:p w14:paraId="56A3242A">
      <w:pPr>
        <w:spacing w:line="300" w:lineRule="auto"/>
        <w:ind w:firstLine="422" w:firstLineChars="200"/>
        <w:rPr>
          <w:b/>
          <w:bCs/>
        </w:rPr>
      </w:pPr>
      <w:r>
        <w:rPr>
          <w:rFonts w:hint="eastAsia"/>
          <w:b/>
          <w:bCs/>
        </w:rPr>
        <w:t>（三）数据与描述性统计</w:t>
      </w:r>
    </w:p>
    <w:p w14:paraId="1A1B37C0">
      <w:pPr>
        <w:spacing w:line="300" w:lineRule="auto"/>
        <w:ind w:firstLine="420" w:firstLineChars="200"/>
        <w:rPr>
          <w:rFonts w:ascii="Times New Roman" w:hAnsi="Times New Roman" w:cs="Times New Roman"/>
        </w:rPr>
      </w:pPr>
      <w:r>
        <w:rPr>
          <w:rFonts w:ascii="Times New Roman" w:hAnsi="Times New Roman" w:eastAsia="宋体" w:cs="Times New Roman"/>
          <w:szCs w:val="21"/>
        </w:rPr>
        <w:t>本文实证研究采</w:t>
      </w:r>
      <w:r>
        <w:rPr>
          <w:rFonts w:ascii="Times New Roman" w:hAnsi="Times New Roman" w:cs="Times New Roman"/>
        </w:rPr>
        <w:t>用2007-2018年中国30个省级行政区的面</w:t>
      </w:r>
      <w:r>
        <w:rPr>
          <w:rFonts w:ascii="Times New Roman" w:hAnsi="Times New Roman" w:eastAsia="宋体" w:cs="Times New Roman"/>
          <w:szCs w:val="21"/>
        </w:rPr>
        <w:t>板数据，考虑到财政支出数据</w:t>
      </w:r>
      <w:r>
        <w:rPr>
          <w:rFonts w:ascii="Times New Roman" w:hAnsi="Times New Roman" w:cs="Times New Roman"/>
        </w:rPr>
        <w:t>在2007年统</w:t>
      </w:r>
      <w:r>
        <w:rPr>
          <w:rFonts w:ascii="Times New Roman" w:hAnsi="Times New Roman" w:eastAsia="宋体" w:cs="Times New Roman"/>
          <w:szCs w:val="21"/>
        </w:rPr>
        <w:t>计口径发生变化，所以数据时间区间为</w:t>
      </w:r>
      <w:r>
        <w:rPr>
          <w:rFonts w:ascii="Times New Roman" w:hAnsi="Times New Roman" w:cs="Times New Roman"/>
        </w:rPr>
        <w:t>2007-2018年</w:t>
      </w:r>
      <w:r>
        <w:rPr>
          <w:rFonts w:ascii="Times New Roman" w:hAnsi="Times New Roman" w:eastAsia="宋体" w:cs="Times New Roman"/>
          <w:szCs w:val="21"/>
        </w:rPr>
        <w:t>。</w:t>
      </w:r>
      <w:r>
        <w:rPr>
          <w:rFonts w:hint="eastAsia" w:ascii="宋体" w:hAnsi="宋体" w:eastAsia="宋体" w:cs="宋体"/>
          <w:szCs w:val="21"/>
        </w:rPr>
        <w:t>数据均来源于历年《中国统计年鉴》《中国农村统计年鉴》</w:t>
      </w:r>
      <w:r>
        <w:rPr>
          <w:rFonts w:hint="eastAsia" w:ascii="Times New Roman" w:hAnsi="Times New Roman" w:cs="Times New Roman"/>
        </w:rPr>
        <w:t>及CEIC</w:t>
      </w:r>
      <w:r>
        <w:rPr>
          <w:rFonts w:hint="eastAsia" w:ascii="宋体" w:hAnsi="宋体" w:eastAsia="宋体" w:cs="宋体"/>
          <w:szCs w:val="21"/>
        </w:rPr>
        <w:t>、中经网、国泰安、国研网库、</w:t>
      </w:r>
      <w:r>
        <w:rPr>
          <w:rFonts w:hint="eastAsia" w:ascii="Times New Roman" w:hAnsi="Times New Roman" w:cs="Times New Roman"/>
        </w:rPr>
        <w:t>EPS</w:t>
      </w:r>
      <w:r>
        <w:rPr>
          <w:rFonts w:hint="eastAsia" w:ascii="宋体" w:hAnsi="宋体" w:eastAsia="宋体" w:cs="宋体"/>
          <w:szCs w:val="21"/>
        </w:rPr>
        <w:t>、国家统计局网站。《中国统计年鉴》有关三产就业人员、城镇与乡村就业人员及农林牧渔业就业人员数据严重缺失，以上指标由各省统计年鉴整理所得。</w:t>
      </w:r>
      <w:r>
        <w:rPr>
          <w:rFonts w:ascii="Times New Roman" w:hAnsi="Times New Roman" w:cs="Times New Roman"/>
          <w:szCs w:val="21"/>
        </w:rPr>
        <w:t>为消除通货膨胀的影响，本文用省份平减指数</w:t>
      </w:r>
      <w:r>
        <w:rPr>
          <w:rFonts w:ascii="Times New Roman" w:hAnsi="Times New Roman" w:cs="Times New Roman"/>
        </w:rPr>
        <w:t>对200</w:t>
      </w:r>
      <w:r>
        <w:rPr>
          <w:rFonts w:hint="eastAsia" w:ascii="Times New Roman" w:hAnsi="Times New Roman" w:cs="Times New Roman"/>
        </w:rPr>
        <w:t>7</w:t>
      </w:r>
      <w:r>
        <w:rPr>
          <w:rFonts w:ascii="Times New Roman" w:hAnsi="Times New Roman" w:cs="Times New Roman"/>
        </w:rPr>
        <w:t>-201</w:t>
      </w:r>
      <w:r>
        <w:rPr>
          <w:rFonts w:hint="eastAsia" w:ascii="Times New Roman" w:hAnsi="Times New Roman" w:cs="Times New Roman"/>
        </w:rPr>
        <w:t>8</w:t>
      </w:r>
      <w:r>
        <w:rPr>
          <w:rFonts w:ascii="Times New Roman" w:hAnsi="Times New Roman" w:cs="Times New Roman"/>
        </w:rPr>
        <w:t>年我国</w:t>
      </w:r>
      <w:r>
        <w:rPr>
          <w:rFonts w:hint="eastAsia" w:ascii="Times New Roman" w:hAnsi="Times New Roman" w:cs="Times New Roman"/>
        </w:rPr>
        <w:t>30个省份</w:t>
      </w:r>
      <w:r>
        <w:rPr>
          <w:rFonts w:ascii="Times New Roman" w:hAnsi="Times New Roman" w:cs="Times New Roman"/>
        </w:rPr>
        <w:t>GDP以</w:t>
      </w:r>
      <w:r>
        <w:rPr>
          <w:rFonts w:hint="eastAsia" w:ascii="Times New Roman" w:hAnsi="Times New Roman" w:cs="Times New Roman"/>
        </w:rPr>
        <w:t>1995</w:t>
      </w:r>
      <w:r>
        <w:rPr>
          <w:rFonts w:ascii="Times New Roman" w:hAnsi="Times New Roman" w:cs="Times New Roman"/>
        </w:rPr>
        <w:t>年为基期进行平减</w:t>
      </w:r>
      <w:r>
        <w:rPr>
          <w:rFonts w:hint="eastAsia" w:ascii="Times New Roman" w:hAnsi="Times New Roman" w:cs="Times New Roman"/>
        </w:rPr>
        <w:t>后计算</w:t>
      </w:r>
      <w:r>
        <w:rPr>
          <w:rFonts w:ascii="Times New Roman" w:hAnsi="Times New Roman" w:cs="Times New Roman"/>
        </w:rPr>
        <w:t>得到</w:t>
      </w:r>
      <w:r>
        <w:rPr>
          <w:rFonts w:hint="eastAsia" w:ascii="Times New Roman" w:hAnsi="Times New Roman" w:cs="Times New Roman"/>
        </w:rPr>
        <w:t>各省</w:t>
      </w:r>
      <w:r>
        <w:rPr>
          <w:rFonts w:ascii="Times New Roman" w:hAnsi="Times New Roman" w:cs="Times New Roman"/>
        </w:rPr>
        <w:t>实际</w:t>
      </w:r>
      <w:r>
        <w:rPr>
          <w:rFonts w:hint="eastAsia" w:ascii="Times New Roman" w:hAnsi="Times New Roman" w:cs="Times New Roman"/>
        </w:rPr>
        <w:t>人均</w:t>
      </w:r>
      <w:r>
        <w:rPr>
          <w:rFonts w:ascii="Times New Roman" w:hAnsi="Times New Roman" w:cs="Times New Roman"/>
        </w:rPr>
        <w:t>GDP</w:t>
      </w:r>
      <w:r>
        <w:rPr>
          <w:rFonts w:hint="eastAsia" w:ascii="Times New Roman" w:hAnsi="Times New Roman" w:cs="Times New Roman"/>
        </w:rPr>
        <w:t>指标</w:t>
      </w:r>
      <w:r>
        <w:rPr>
          <w:rFonts w:ascii="Times New Roman" w:hAnsi="Times New Roman" w:cs="Times New Roman"/>
        </w:rPr>
        <w:t>，其他数据使用占比或取对数的形式。在统计过程中，采用</w:t>
      </w:r>
      <w:r>
        <w:rPr>
          <w:rFonts w:hint="eastAsia" w:ascii="Times New Roman" w:hAnsi="Times New Roman" w:cs="Times New Roman"/>
        </w:rPr>
        <w:t>插值法</w:t>
      </w:r>
      <w:r>
        <w:rPr>
          <w:rFonts w:ascii="Times New Roman" w:hAnsi="Times New Roman" w:cs="Times New Roman"/>
        </w:rPr>
        <w:t>对个别缺失数据进行补齐。主要变量的描述性统计结果见表2。</w:t>
      </w:r>
    </w:p>
    <w:p w14:paraId="29A68ACA">
      <w:pPr>
        <w:pStyle w:val="8"/>
        <w:spacing w:beforeAutospacing="0" w:afterAutospacing="0" w:line="300" w:lineRule="auto"/>
        <w:ind w:firstLine="361" w:firstLineChars="200"/>
        <w:jc w:val="center"/>
        <w:rPr>
          <w:rFonts w:ascii="Times New Roman" w:hAnsi="Times New Roman"/>
          <w:b/>
          <w:bCs/>
          <w:sz w:val="18"/>
          <w:szCs w:val="18"/>
        </w:rPr>
      </w:pPr>
    </w:p>
    <w:p w14:paraId="3B92075F">
      <w:pPr>
        <w:pStyle w:val="8"/>
        <w:spacing w:beforeAutospacing="0" w:afterAutospacing="0" w:line="300" w:lineRule="auto"/>
        <w:ind w:firstLine="361" w:firstLineChars="200"/>
        <w:jc w:val="center"/>
        <w:rPr>
          <w:rFonts w:ascii="Times New Roman" w:hAnsi="Times New Roman"/>
          <w:b/>
          <w:bCs/>
          <w:sz w:val="18"/>
          <w:szCs w:val="18"/>
        </w:rPr>
      </w:pPr>
      <w:commentRangeStart w:id="15"/>
      <w:r>
        <w:rPr>
          <w:rFonts w:ascii="Times New Roman" w:hAnsi="Times New Roman"/>
          <w:b/>
          <w:bCs/>
          <w:sz w:val="18"/>
          <w:szCs w:val="18"/>
        </w:rPr>
        <w:t>表2   主要变量的描述性统计</w:t>
      </w:r>
      <w:commentRangeEnd w:id="15"/>
      <w:r>
        <w:commentReference w:id="15"/>
      </w:r>
    </w:p>
    <w:tbl>
      <w:tblPr>
        <w:tblStyle w:val="10"/>
        <w:tblW w:w="8400"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00"/>
        <w:gridCol w:w="1400"/>
        <w:gridCol w:w="1400"/>
        <w:gridCol w:w="1400"/>
        <w:gridCol w:w="1400"/>
        <w:gridCol w:w="1400"/>
      </w:tblGrid>
      <w:tr w14:paraId="02317875">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400" w:type="dxa"/>
            <w:tcBorders>
              <w:top w:val="single" w:color="auto" w:sz="6" w:space="0"/>
              <w:bottom w:val="single" w:color="auto" w:sz="6" w:space="0"/>
              <w:right w:val="nil"/>
            </w:tcBorders>
            <w:vAlign w:val="center"/>
          </w:tcPr>
          <w:p w14:paraId="3B2B6741">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变量名称</w:t>
            </w:r>
          </w:p>
        </w:tc>
        <w:tc>
          <w:tcPr>
            <w:tcW w:w="1400" w:type="dxa"/>
            <w:tcBorders>
              <w:top w:val="single" w:color="auto" w:sz="6" w:space="0"/>
              <w:left w:val="nil"/>
              <w:bottom w:val="single" w:color="auto" w:sz="6" w:space="0"/>
              <w:right w:val="nil"/>
            </w:tcBorders>
            <w:vAlign w:val="center"/>
          </w:tcPr>
          <w:p w14:paraId="56076D9B">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单位</w:t>
            </w:r>
          </w:p>
        </w:tc>
        <w:tc>
          <w:tcPr>
            <w:tcW w:w="1400" w:type="dxa"/>
            <w:tcBorders>
              <w:top w:val="single" w:color="auto" w:sz="6" w:space="0"/>
              <w:left w:val="nil"/>
              <w:bottom w:val="single" w:color="auto" w:sz="6" w:space="0"/>
              <w:right w:val="nil"/>
            </w:tcBorders>
            <w:vAlign w:val="center"/>
          </w:tcPr>
          <w:p w14:paraId="10FE3C07">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均值</w:t>
            </w:r>
          </w:p>
        </w:tc>
        <w:tc>
          <w:tcPr>
            <w:tcW w:w="1400" w:type="dxa"/>
            <w:tcBorders>
              <w:top w:val="single" w:color="auto" w:sz="6" w:space="0"/>
              <w:left w:val="nil"/>
              <w:bottom w:val="single" w:color="auto" w:sz="6" w:space="0"/>
              <w:right w:val="nil"/>
            </w:tcBorders>
            <w:vAlign w:val="center"/>
          </w:tcPr>
          <w:p w14:paraId="300FC56C">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标准差</w:t>
            </w:r>
          </w:p>
        </w:tc>
        <w:tc>
          <w:tcPr>
            <w:tcW w:w="1400" w:type="dxa"/>
            <w:tcBorders>
              <w:top w:val="single" w:color="auto" w:sz="6" w:space="0"/>
              <w:left w:val="nil"/>
              <w:bottom w:val="single" w:color="auto" w:sz="6" w:space="0"/>
              <w:right w:val="nil"/>
            </w:tcBorders>
            <w:vAlign w:val="center"/>
          </w:tcPr>
          <w:p w14:paraId="363D52F6">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最小值</w:t>
            </w:r>
          </w:p>
        </w:tc>
        <w:tc>
          <w:tcPr>
            <w:tcW w:w="1400" w:type="dxa"/>
            <w:tcBorders>
              <w:top w:val="single" w:color="auto" w:sz="6" w:space="0"/>
              <w:left w:val="nil"/>
              <w:bottom w:val="single" w:color="auto" w:sz="6" w:space="0"/>
            </w:tcBorders>
            <w:vAlign w:val="center"/>
          </w:tcPr>
          <w:p w14:paraId="6A29F3E9">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最大值</w:t>
            </w:r>
          </w:p>
        </w:tc>
      </w:tr>
      <w:tr w14:paraId="2F9D7FA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400" w:type="dxa"/>
            <w:tcBorders>
              <w:top w:val="single" w:color="auto" w:sz="6" w:space="0"/>
              <w:bottom w:val="nil"/>
              <w:right w:val="nil"/>
            </w:tcBorders>
            <w:vAlign w:val="center"/>
          </w:tcPr>
          <w:p w14:paraId="7AB3A9E3">
            <w:pPr>
              <w:pStyle w:val="8"/>
              <w:spacing w:beforeAutospacing="0" w:afterAutospacing="0"/>
              <w:jc w:val="center"/>
              <w:rPr>
                <w:rFonts w:ascii="Times New Roman" w:hAnsi="Times New Roman"/>
                <w:sz w:val="18"/>
                <w:szCs w:val="18"/>
              </w:rPr>
            </w:pPr>
            <w:r>
              <w:rPr>
                <w:rFonts w:ascii="Times New Roman" w:hAnsi="Times New Roman"/>
                <w:sz w:val="18"/>
                <w:szCs w:val="18"/>
              </w:rPr>
              <w:t>stru</w:t>
            </w:r>
          </w:p>
        </w:tc>
        <w:tc>
          <w:tcPr>
            <w:tcW w:w="1400" w:type="dxa"/>
            <w:tcBorders>
              <w:top w:val="single" w:color="auto" w:sz="6" w:space="0"/>
              <w:left w:val="nil"/>
              <w:bottom w:val="nil"/>
              <w:right w:val="nil"/>
            </w:tcBorders>
            <w:vAlign w:val="center"/>
          </w:tcPr>
          <w:p w14:paraId="09319C6F">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比值</w:t>
            </w:r>
          </w:p>
        </w:tc>
        <w:tc>
          <w:tcPr>
            <w:tcW w:w="1400" w:type="dxa"/>
            <w:tcBorders>
              <w:top w:val="single" w:color="auto" w:sz="6" w:space="0"/>
              <w:left w:val="nil"/>
              <w:bottom w:val="nil"/>
              <w:right w:val="nil"/>
            </w:tcBorders>
            <w:vAlign w:val="center"/>
          </w:tcPr>
          <w:p w14:paraId="0470FD76">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0.1949</w:t>
            </w:r>
          </w:p>
        </w:tc>
        <w:tc>
          <w:tcPr>
            <w:tcW w:w="1400" w:type="dxa"/>
            <w:tcBorders>
              <w:top w:val="single" w:color="auto" w:sz="6" w:space="0"/>
              <w:left w:val="nil"/>
              <w:bottom w:val="nil"/>
              <w:right w:val="nil"/>
            </w:tcBorders>
            <w:vAlign w:val="center"/>
          </w:tcPr>
          <w:p w14:paraId="58DD817D">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0.0707</w:t>
            </w:r>
          </w:p>
        </w:tc>
        <w:tc>
          <w:tcPr>
            <w:tcW w:w="1400" w:type="dxa"/>
            <w:tcBorders>
              <w:top w:val="single" w:color="auto" w:sz="6" w:space="0"/>
              <w:left w:val="nil"/>
              <w:bottom w:val="nil"/>
              <w:right w:val="nil"/>
            </w:tcBorders>
            <w:vAlign w:val="center"/>
          </w:tcPr>
          <w:p w14:paraId="27038952">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0.0639</w:t>
            </w:r>
          </w:p>
        </w:tc>
        <w:tc>
          <w:tcPr>
            <w:tcW w:w="1400" w:type="dxa"/>
            <w:tcBorders>
              <w:top w:val="single" w:color="auto" w:sz="6" w:space="0"/>
              <w:left w:val="nil"/>
              <w:bottom w:val="nil"/>
            </w:tcBorders>
            <w:vAlign w:val="center"/>
          </w:tcPr>
          <w:p w14:paraId="34DF5FA6">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0.4375</w:t>
            </w:r>
          </w:p>
        </w:tc>
      </w:tr>
      <w:tr w14:paraId="6BCBFF5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278F11B4">
            <w:pPr>
              <w:pStyle w:val="8"/>
              <w:spacing w:beforeAutospacing="0" w:afterAutospacing="0"/>
              <w:jc w:val="center"/>
              <w:rPr>
                <w:rFonts w:ascii="Times New Roman" w:hAnsi="Times New Roman"/>
                <w:sz w:val="18"/>
                <w:szCs w:val="18"/>
              </w:rPr>
            </w:pPr>
            <w:r>
              <w:rPr>
                <w:rFonts w:ascii="Times New Roman" w:hAnsi="Times New Roman"/>
                <w:sz w:val="18"/>
                <w:szCs w:val="18"/>
              </w:rPr>
              <w:t>agr</w:t>
            </w:r>
          </w:p>
        </w:tc>
        <w:tc>
          <w:tcPr>
            <w:tcW w:w="1400" w:type="dxa"/>
            <w:tcBorders>
              <w:top w:val="nil"/>
              <w:left w:val="nil"/>
              <w:bottom w:val="nil"/>
              <w:right w:val="nil"/>
            </w:tcBorders>
            <w:vAlign w:val="center"/>
          </w:tcPr>
          <w:p w14:paraId="251AB01F">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比值</w:t>
            </w:r>
          </w:p>
        </w:tc>
        <w:tc>
          <w:tcPr>
            <w:tcW w:w="1400" w:type="dxa"/>
            <w:tcBorders>
              <w:top w:val="nil"/>
              <w:left w:val="nil"/>
              <w:bottom w:val="nil"/>
              <w:right w:val="nil"/>
            </w:tcBorders>
            <w:vAlign w:val="center"/>
          </w:tcPr>
          <w:p w14:paraId="0E249A57">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0.2770</w:t>
            </w:r>
          </w:p>
        </w:tc>
        <w:tc>
          <w:tcPr>
            <w:tcW w:w="1400" w:type="dxa"/>
            <w:tcBorders>
              <w:top w:val="nil"/>
              <w:left w:val="nil"/>
              <w:bottom w:val="nil"/>
              <w:right w:val="nil"/>
            </w:tcBorders>
            <w:vAlign w:val="center"/>
          </w:tcPr>
          <w:p w14:paraId="402C7B7B">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0.0885</w:t>
            </w:r>
          </w:p>
        </w:tc>
        <w:tc>
          <w:tcPr>
            <w:tcW w:w="1400" w:type="dxa"/>
            <w:tcBorders>
              <w:top w:val="nil"/>
              <w:left w:val="nil"/>
              <w:bottom w:val="nil"/>
              <w:right w:val="nil"/>
            </w:tcBorders>
            <w:vAlign w:val="center"/>
          </w:tcPr>
          <w:p w14:paraId="7CF04FC5">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0.1067</w:t>
            </w:r>
          </w:p>
        </w:tc>
        <w:tc>
          <w:tcPr>
            <w:tcW w:w="1400" w:type="dxa"/>
            <w:tcBorders>
              <w:top w:val="nil"/>
              <w:left w:val="nil"/>
              <w:bottom w:val="nil"/>
            </w:tcBorders>
            <w:vAlign w:val="center"/>
          </w:tcPr>
          <w:p w14:paraId="0BE8E401">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0.5692</w:t>
            </w:r>
          </w:p>
        </w:tc>
      </w:tr>
      <w:tr w14:paraId="7074212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1B4E6F69">
            <w:pPr>
              <w:pStyle w:val="8"/>
              <w:spacing w:beforeAutospacing="0" w:afterAutospacing="0"/>
              <w:jc w:val="center"/>
              <w:rPr>
                <w:rFonts w:ascii="Times New Roman" w:hAnsi="Times New Roman"/>
                <w:sz w:val="18"/>
                <w:szCs w:val="18"/>
              </w:rPr>
            </w:pPr>
            <w:r>
              <w:rPr>
                <w:rFonts w:ascii="Times New Roman" w:hAnsi="Times New Roman"/>
                <w:sz w:val="18"/>
                <w:szCs w:val="18"/>
              </w:rPr>
              <w:t>tran</w:t>
            </w:r>
          </w:p>
        </w:tc>
        <w:tc>
          <w:tcPr>
            <w:tcW w:w="1400" w:type="dxa"/>
            <w:tcBorders>
              <w:top w:val="nil"/>
              <w:left w:val="nil"/>
              <w:bottom w:val="nil"/>
              <w:right w:val="nil"/>
            </w:tcBorders>
            <w:vAlign w:val="center"/>
          </w:tcPr>
          <w:p w14:paraId="6DCD71F0">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log（万人）</w:t>
            </w:r>
          </w:p>
        </w:tc>
        <w:tc>
          <w:tcPr>
            <w:tcW w:w="1400" w:type="dxa"/>
            <w:tcBorders>
              <w:top w:val="nil"/>
              <w:left w:val="nil"/>
              <w:bottom w:val="nil"/>
              <w:right w:val="nil"/>
            </w:tcBorders>
            <w:vAlign w:val="center"/>
          </w:tcPr>
          <w:p w14:paraId="2FF4F51B">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5.7582</w:t>
            </w:r>
          </w:p>
        </w:tc>
        <w:tc>
          <w:tcPr>
            <w:tcW w:w="1400" w:type="dxa"/>
            <w:tcBorders>
              <w:top w:val="nil"/>
              <w:left w:val="nil"/>
              <w:bottom w:val="nil"/>
              <w:right w:val="nil"/>
            </w:tcBorders>
            <w:vAlign w:val="center"/>
          </w:tcPr>
          <w:p w14:paraId="0C33D880">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1.3178</w:t>
            </w:r>
          </w:p>
        </w:tc>
        <w:tc>
          <w:tcPr>
            <w:tcW w:w="1400" w:type="dxa"/>
            <w:tcBorders>
              <w:top w:val="nil"/>
              <w:left w:val="nil"/>
              <w:bottom w:val="nil"/>
              <w:right w:val="nil"/>
            </w:tcBorders>
            <w:vAlign w:val="center"/>
          </w:tcPr>
          <w:p w14:paraId="2DE730BE">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0.0000</w:t>
            </w:r>
          </w:p>
        </w:tc>
        <w:tc>
          <w:tcPr>
            <w:tcW w:w="1400" w:type="dxa"/>
            <w:tcBorders>
              <w:top w:val="nil"/>
              <w:left w:val="nil"/>
              <w:bottom w:val="nil"/>
            </w:tcBorders>
            <w:vAlign w:val="center"/>
          </w:tcPr>
          <w:p w14:paraId="15E17186">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7.7463</w:t>
            </w:r>
          </w:p>
        </w:tc>
      </w:tr>
      <w:tr w14:paraId="77DE94C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29C34CC7">
            <w:pPr>
              <w:pStyle w:val="8"/>
              <w:spacing w:beforeAutospacing="0" w:afterAutospacing="0"/>
              <w:jc w:val="center"/>
              <w:rPr>
                <w:rFonts w:ascii="Times New Roman" w:hAnsi="Times New Roman"/>
                <w:sz w:val="18"/>
                <w:szCs w:val="18"/>
              </w:rPr>
            </w:pPr>
            <w:r>
              <w:rPr>
                <w:rFonts w:ascii="Times New Roman" w:hAnsi="Times New Roman"/>
                <w:sz w:val="18"/>
                <w:szCs w:val="18"/>
              </w:rPr>
              <w:t>pgdp</w:t>
            </w:r>
          </w:p>
        </w:tc>
        <w:tc>
          <w:tcPr>
            <w:tcW w:w="1400" w:type="dxa"/>
            <w:tcBorders>
              <w:top w:val="nil"/>
              <w:left w:val="nil"/>
              <w:bottom w:val="nil"/>
              <w:right w:val="nil"/>
            </w:tcBorders>
            <w:vAlign w:val="center"/>
          </w:tcPr>
          <w:p w14:paraId="1FE48AF5">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log（元）</w:t>
            </w:r>
          </w:p>
        </w:tc>
        <w:tc>
          <w:tcPr>
            <w:tcW w:w="1400" w:type="dxa"/>
            <w:tcBorders>
              <w:top w:val="nil"/>
              <w:left w:val="nil"/>
              <w:bottom w:val="nil"/>
              <w:right w:val="nil"/>
            </w:tcBorders>
            <w:vAlign w:val="center"/>
          </w:tcPr>
          <w:p w14:paraId="71016F72">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10.2880</w:t>
            </w:r>
          </w:p>
        </w:tc>
        <w:tc>
          <w:tcPr>
            <w:tcW w:w="1400" w:type="dxa"/>
            <w:tcBorders>
              <w:top w:val="nil"/>
              <w:left w:val="nil"/>
              <w:bottom w:val="nil"/>
              <w:right w:val="nil"/>
            </w:tcBorders>
            <w:vAlign w:val="center"/>
          </w:tcPr>
          <w:p w14:paraId="73F2F54E">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0.6599</w:t>
            </w:r>
          </w:p>
        </w:tc>
        <w:tc>
          <w:tcPr>
            <w:tcW w:w="1400" w:type="dxa"/>
            <w:tcBorders>
              <w:top w:val="nil"/>
              <w:left w:val="nil"/>
              <w:bottom w:val="nil"/>
              <w:right w:val="nil"/>
            </w:tcBorders>
            <w:vAlign w:val="center"/>
          </w:tcPr>
          <w:p w14:paraId="532496E5">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8.6112</w:t>
            </w:r>
          </w:p>
        </w:tc>
        <w:tc>
          <w:tcPr>
            <w:tcW w:w="1400" w:type="dxa"/>
            <w:tcBorders>
              <w:top w:val="nil"/>
              <w:left w:val="nil"/>
              <w:bottom w:val="nil"/>
            </w:tcBorders>
            <w:vAlign w:val="center"/>
          </w:tcPr>
          <w:p w14:paraId="5170AF0C">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12.0515</w:t>
            </w:r>
          </w:p>
        </w:tc>
      </w:tr>
      <w:tr w14:paraId="5E0C1A3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65F8DB68">
            <w:pPr>
              <w:pStyle w:val="8"/>
              <w:spacing w:beforeAutospacing="0" w:afterAutospacing="0"/>
              <w:jc w:val="center"/>
              <w:rPr>
                <w:rFonts w:ascii="Times New Roman" w:hAnsi="Times New Roman"/>
                <w:sz w:val="18"/>
                <w:szCs w:val="18"/>
              </w:rPr>
            </w:pPr>
            <w:r>
              <w:rPr>
                <w:rFonts w:ascii="Times New Roman" w:hAnsi="Times New Roman"/>
                <w:sz w:val="18"/>
                <w:szCs w:val="18"/>
              </w:rPr>
              <w:t>indu</w:t>
            </w:r>
          </w:p>
        </w:tc>
        <w:tc>
          <w:tcPr>
            <w:tcW w:w="1400" w:type="dxa"/>
            <w:tcBorders>
              <w:top w:val="nil"/>
              <w:left w:val="nil"/>
              <w:bottom w:val="nil"/>
              <w:right w:val="nil"/>
            </w:tcBorders>
            <w:vAlign w:val="center"/>
          </w:tcPr>
          <w:p w14:paraId="685AC25F">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比值</w:t>
            </w:r>
          </w:p>
        </w:tc>
        <w:tc>
          <w:tcPr>
            <w:tcW w:w="1400" w:type="dxa"/>
            <w:tcBorders>
              <w:top w:val="nil"/>
              <w:left w:val="nil"/>
              <w:bottom w:val="nil"/>
              <w:right w:val="nil"/>
            </w:tcBorders>
            <w:vAlign w:val="center"/>
          </w:tcPr>
          <w:p w14:paraId="548E9D6C">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0.8955</w:t>
            </w:r>
          </w:p>
        </w:tc>
        <w:tc>
          <w:tcPr>
            <w:tcW w:w="1400" w:type="dxa"/>
            <w:tcBorders>
              <w:top w:val="nil"/>
              <w:left w:val="nil"/>
              <w:bottom w:val="nil"/>
              <w:right w:val="nil"/>
            </w:tcBorders>
            <w:vAlign w:val="center"/>
          </w:tcPr>
          <w:p w14:paraId="61083568">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0.0544</w:t>
            </w:r>
          </w:p>
        </w:tc>
        <w:tc>
          <w:tcPr>
            <w:tcW w:w="1400" w:type="dxa"/>
            <w:tcBorders>
              <w:top w:val="nil"/>
              <w:left w:val="nil"/>
              <w:bottom w:val="nil"/>
              <w:right w:val="nil"/>
            </w:tcBorders>
            <w:vAlign w:val="center"/>
          </w:tcPr>
          <w:p w14:paraId="1514D149">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0.7099</w:t>
            </w:r>
          </w:p>
        </w:tc>
        <w:tc>
          <w:tcPr>
            <w:tcW w:w="1400" w:type="dxa"/>
            <w:tcBorders>
              <w:top w:val="nil"/>
              <w:left w:val="nil"/>
              <w:bottom w:val="nil"/>
            </w:tcBorders>
            <w:vAlign w:val="center"/>
          </w:tcPr>
          <w:p w14:paraId="75DE8ABA">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0.9968</w:t>
            </w:r>
          </w:p>
        </w:tc>
      </w:tr>
      <w:tr w14:paraId="3653E1C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0F5FAF88">
            <w:pPr>
              <w:pStyle w:val="8"/>
              <w:spacing w:beforeAutospacing="0" w:afterAutospacing="0"/>
              <w:jc w:val="center"/>
              <w:rPr>
                <w:rFonts w:ascii="Times New Roman" w:hAnsi="Times New Roman"/>
                <w:sz w:val="18"/>
                <w:szCs w:val="18"/>
              </w:rPr>
            </w:pPr>
            <w:r>
              <w:rPr>
                <w:rFonts w:ascii="Times New Roman" w:hAnsi="Times New Roman"/>
                <w:sz w:val="18"/>
                <w:szCs w:val="18"/>
              </w:rPr>
              <w:t>peop</w:t>
            </w:r>
          </w:p>
        </w:tc>
        <w:tc>
          <w:tcPr>
            <w:tcW w:w="1400" w:type="dxa"/>
            <w:tcBorders>
              <w:top w:val="nil"/>
              <w:left w:val="nil"/>
              <w:bottom w:val="nil"/>
              <w:right w:val="nil"/>
            </w:tcBorders>
            <w:vAlign w:val="center"/>
          </w:tcPr>
          <w:p w14:paraId="63F15627">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log（百万人）</w:t>
            </w:r>
          </w:p>
        </w:tc>
        <w:tc>
          <w:tcPr>
            <w:tcW w:w="1400" w:type="dxa"/>
            <w:tcBorders>
              <w:top w:val="nil"/>
              <w:left w:val="nil"/>
              <w:bottom w:val="nil"/>
              <w:right w:val="nil"/>
            </w:tcBorders>
            <w:vAlign w:val="center"/>
          </w:tcPr>
          <w:p w14:paraId="46B0B919">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3.5810</w:t>
            </w:r>
          </w:p>
        </w:tc>
        <w:tc>
          <w:tcPr>
            <w:tcW w:w="1400" w:type="dxa"/>
            <w:tcBorders>
              <w:top w:val="nil"/>
              <w:left w:val="nil"/>
              <w:bottom w:val="nil"/>
              <w:right w:val="nil"/>
            </w:tcBorders>
            <w:vAlign w:val="center"/>
          </w:tcPr>
          <w:p w14:paraId="3CA1491C">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0.7416</w:t>
            </w:r>
          </w:p>
        </w:tc>
        <w:tc>
          <w:tcPr>
            <w:tcW w:w="1400" w:type="dxa"/>
            <w:tcBorders>
              <w:top w:val="nil"/>
              <w:left w:val="nil"/>
              <w:bottom w:val="nil"/>
              <w:right w:val="nil"/>
            </w:tcBorders>
            <w:vAlign w:val="center"/>
          </w:tcPr>
          <w:p w14:paraId="2DEA0332">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1.7084</w:t>
            </w:r>
          </w:p>
        </w:tc>
        <w:tc>
          <w:tcPr>
            <w:tcW w:w="1400" w:type="dxa"/>
            <w:tcBorders>
              <w:top w:val="nil"/>
              <w:left w:val="nil"/>
              <w:bottom w:val="nil"/>
            </w:tcBorders>
            <w:vAlign w:val="center"/>
          </w:tcPr>
          <w:p w14:paraId="3B6B901E">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4.7315</w:t>
            </w:r>
          </w:p>
        </w:tc>
      </w:tr>
      <w:tr w14:paraId="4B2FCD5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294AB3AE">
            <w:pPr>
              <w:pStyle w:val="8"/>
              <w:spacing w:beforeAutospacing="0" w:afterAutospacing="0"/>
              <w:jc w:val="center"/>
              <w:rPr>
                <w:rFonts w:ascii="Cambria Math" w:hAnsi="Cambria Math"/>
                <w:sz w:val="18"/>
                <w:szCs w:val="18"/>
                <w:oMath/>
              </w:rPr>
            </w:pPr>
            <w:r>
              <w:rPr>
                <w:rFonts w:ascii="Times New Roman" w:hAnsi="Times New Roman"/>
                <w:sz w:val="18"/>
                <w:szCs w:val="18"/>
              </w:rPr>
              <w:t>fore</w:t>
            </w:r>
          </w:p>
        </w:tc>
        <w:tc>
          <w:tcPr>
            <w:tcW w:w="1400" w:type="dxa"/>
            <w:tcBorders>
              <w:top w:val="nil"/>
              <w:left w:val="nil"/>
              <w:bottom w:val="nil"/>
              <w:right w:val="nil"/>
            </w:tcBorders>
            <w:vAlign w:val="center"/>
          </w:tcPr>
          <w:p w14:paraId="226BA7D4">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比值</w:t>
            </w:r>
          </w:p>
        </w:tc>
        <w:tc>
          <w:tcPr>
            <w:tcW w:w="1400" w:type="dxa"/>
            <w:tcBorders>
              <w:top w:val="nil"/>
              <w:left w:val="nil"/>
              <w:bottom w:val="nil"/>
              <w:right w:val="nil"/>
            </w:tcBorders>
            <w:vAlign w:val="center"/>
          </w:tcPr>
          <w:p w14:paraId="06D582F0">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0.3873</w:t>
            </w:r>
          </w:p>
        </w:tc>
        <w:tc>
          <w:tcPr>
            <w:tcW w:w="1400" w:type="dxa"/>
            <w:tcBorders>
              <w:top w:val="nil"/>
              <w:left w:val="nil"/>
              <w:bottom w:val="nil"/>
              <w:right w:val="nil"/>
            </w:tcBorders>
            <w:vAlign w:val="center"/>
          </w:tcPr>
          <w:p w14:paraId="7D26370A">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0.5221</w:t>
            </w:r>
          </w:p>
        </w:tc>
        <w:tc>
          <w:tcPr>
            <w:tcW w:w="1400" w:type="dxa"/>
            <w:tcBorders>
              <w:top w:val="nil"/>
              <w:left w:val="nil"/>
              <w:bottom w:val="nil"/>
              <w:right w:val="nil"/>
            </w:tcBorders>
            <w:vAlign w:val="center"/>
          </w:tcPr>
          <w:p w14:paraId="3FB11466">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0.0473</w:t>
            </w:r>
          </w:p>
        </w:tc>
        <w:tc>
          <w:tcPr>
            <w:tcW w:w="1400" w:type="dxa"/>
            <w:tcBorders>
              <w:top w:val="nil"/>
              <w:left w:val="nil"/>
              <w:bottom w:val="nil"/>
            </w:tcBorders>
            <w:vAlign w:val="center"/>
          </w:tcPr>
          <w:p w14:paraId="741AD52B">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5.7052</w:t>
            </w:r>
          </w:p>
        </w:tc>
      </w:tr>
      <w:tr w14:paraId="2905787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607AFFD1">
            <w:pPr>
              <w:pStyle w:val="8"/>
              <w:spacing w:beforeAutospacing="0" w:afterAutospacing="0"/>
              <w:jc w:val="center"/>
              <w:rPr>
                <w:rFonts w:ascii="Cambria Math" w:hAnsi="Cambria Math"/>
                <w:sz w:val="18"/>
                <w:szCs w:val="18"/>
                <w:oMath/>
              </w:rPr>
            </w:pPr>
            <w:r>
              <w:rPr>
                <w:rFonts w:ascii="Times New Roman" w:hAnsi="Times New Roman"/>
                <w:sz w:val="18"/>
                <w:szCs w:val="18"/>
              </w:rPr>
              <w:t>pub</w:t>
            </w:r>
          </w:p>
        </w:tc>
        <w:tc>
          <w:tcPr>
            <w:tcW w:w="1400" w:type="dxa"/>
            <w:tcBorders>
              <w:top w:val="nil"/>
              <w:left w:val="nil"/>
              <w:bottom w:val="nil"/>
              <w:right w:val="nil"/>
            </w:tcBorders>
            <w:vAlign w:val="center"/>
          </w:tcPr>
          <w:p w14:paraId="5B8CD12C">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比值</w:t>
            </w:r>
          </w:p>
        </w:tc>
        <w:tc>
          <w:tcPr>
            <w:tcW w:w="1400" w:type="dxa"/>
            <w:tcBorders>
              <w:top w:val="nil"/>
              <w:left w:val="nil"/>
              <w:bottom w:val="nil"/>
              <w:right w:val="nil"/>
            </w:tcBorders>
            <w:vAlign w:val="center"/>
          </w:tcPr>
          <w:p w14:paraId="16609DEB">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0.1086</w:t>
            </w:r>
          </w:p>
        </w:tc>
        <w:tc>
          <w:tcPr>
            <w:tcW w:w="1400" w:type="dxa"/>
            <w:tcBorders>
              <w:top w:val="nil"/>
              <w:left w:val="nil"/>
              <w:bottom w:val="nil"/>
              <w:right w:val="nil"/>
            </w:tcBorders>
            <w:vAlign w:val="center"/>
          </w:tcPr>
          <w:p w14:paraId="14B8146E">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0.0336</w:t>
            </w:r>
          </w:p>
        </w:tc>
        <w:tc>
          <w:tcPr>
            <w:tcW w:w="1400" w:type="dxa"/>
            <w:tcBorders>
              <w:top w:val="nil"/>
              <w:left w:val="nil"/>
              <w:bottom w:val="nil"/>
              <w:right w:val="nil"/>
            </w:tcBorders>
            <w:vAlign w:val="center"/>
          </w:tcPr>
          <w:p w14:paraId="5B01DA3E">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0.0420</w:t>
            </w:r>
          </w:p>
        </w:tc>
        <w:tc>
          <w:tcPr>
            <w:tcW w:w="1400" w:type="dxa"/>
            <w:tcBorders>
              <w:top w:val="nil"/>
              <w:left w:val="nil"/>
              <w:bottom w:val="nil"/>
            </w:tcBorders>
            <w:vAlign w:val="center"/>
          </w:tcPr>
          <w:p w14:paraId="67D8363F">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0.2053</w:t>
            </w:r>
          </w:p>
        </w:tc>
      </w:tr>
      <w:tr w14:paraId="0158AD2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05D39BC1">
            <w:pPr>
              <w:pStyle w:val="8"/>
              <w:spacing w:beforeAutospacing="0" w:afterAutospacing="0"/>
              <w:jc w:val="center"/>
              <w:rPr>
                <w:rFonts w:ascii="Cambria Math" w:hAnsi="Cambria Math"/>
                <w:sz w:val="18"/>
                <w:szCs w:val="18"/>
                <w:oMath/>
              </w:rPr>
            </w:pPr>
            <w:r>
              <w:rPr>
                <w:rFonts w:ascii="Times New Roman" w:hAnsi="Times New Roman"/>
                <w:sz w:val="18"/>
                <w:szCs w:val="18"/>
              </w:rPr>
              <w:t>sci</w:t>
            </w:r>
          </w:p>
        </w:tc>
        <w:tc>
          <w:tcPr>
            <w:tcW w:w="1400" w:type="dxa"/>
            <w:tcBorders>
              <w:top w:val="nil"/>
              <w:left w:val="nil"/>
              <w:bottom w:val="nil"/>
              <w:right w:val="nil"/>
            </w:tcBorders>
            <w:vAlign w:val="center"/>
          </w:tcPr>
          <w:p w14:paraId="7BED0D91">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比值</w:t>
            </w:r>
          </w:p>
        </w:tc>
        <w:tc>
          <w:tcPr>
            <w:tcW w:w="1400" w:type="dxa"/>
            <w:tcBorders>
              <w:top w:val="nil"/>
              <w:left w:val="nil"/>
              <w:bottom w:val="nil"/>
              <w:right w:val="nil"/>
            </w:tcBorders>
            <w:vAlign w:val="center"/>
          </w:tcPr>
          <w:p w14:paraId="5704B332">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0.0197</w:t>
            </w:r>
          </w:p>
        </w:tc>
        <w:tc>
          <w:tcPr>
            <w:tcW w:w="1400" w:type="dxa"/>
            <w:tcBorders>
              <w:top w:val="nil"/>
              <w:left w:val="nil"/>
              <w:bottom w:val="nil"/>
              <w:right w:val="nil"/>
            </w:tcBorders>
            <w:vAlign w:val="center"/>
          </w:tcPr>
          <w:p w14:paraId="34EA941B">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0.0138</w:t>
            </w:r>
          </w:p>
        </w:tc>
        <w:tc>
          <w:tcPr>
            <w:tcW w:w="1400" w:type="dxa"/>
            <w:tcBorders>
              <w:top w:val="nil"/>
              <w:left w:val="nil"/>
              <w:bottom w:val="nil"/>
              <w:right w:val="nil"/>
            </w:tcBorders>
            <w:vAlign w:val="center"/>
          </w:tcPr>
          <w:p w14:paraId="0F6849A6">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0.0039</w:t>
            </w:r>
          </w:p>
        </w:tc>
        <w:tc>
          <w:tcPr>
            <w:tcW w:w="1400" w:type="dxa"/>
            <w:tcBorders>
              <w:top w:val="nil"/>
              <w:left w:val="nil"/>
              <w:bottom w:val="nil"/>
            </w:tcBorders>
            <w:vAlign w:val="center"/>
          </w:tcPr>
          <w:p w14:paraId="3AEE0A97">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0.0720</w:t>
            </w:r>
          </w:p>
        </w:tc>
      </w:tr>
      <w:tr w14:paraId="1641633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7AC9871C">
            <w:pPr>
              <w:pStyle w:val="8"/>
              <w:spacing w:beforeAutospacing="0" w:afterAutospacing="0"/>
              <w:jc w:val="center"/>
              <w:rPr>
                <w:rFonts w:ascii="Cambria Math" w:hAnsi="Cambria Math"/>
                <w:sz w:val="18"/>
                <w:szCs w:val="18"/>
                <w:oMath/>
              </w:rPr>
            </w:pPr>
            <w:r>
              <w:rPr>
                <w:rFonts w:ascii="Times New Roman" w:hAnsi="Times New Roman"/>
                <w:sz w:val="18"/>
                <w:szCs w:val="18"/>
              </w:rPr>
              <w:t>edu</w:t>
            </w:r>
          </w:p>
        </w:tc>
        <w:tc>
          <w:tcPr>
            <w:tcW w:w="1400" w:type="dxa"/>
            <w:tcBorders>
              <w:top w:val="nil"/>
              <w:left w:val="nil"/>
              <w:bottom w:val="nil"/>
              <w:right w:val="nil"/>
            </w:tcBorders>
            <w:vAlign w:val="center"/>
          </w:tcPr>
          <w:p w14:paraId="7FCC3C75">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比值</w:t>
            </w:r>
          </w:p>
        </w:tc>
        <w:tc>
          <w:tcPr>
            <w:tcW w:w="1400" w:type="dxa"/>
            <w:tcBorders>
              <w:top w:val="nil"/>
              <w:left w:val="nil"/>
              <w:bottom w:val="nil"/>
              <w:right w:val="nil"/>
            </w:tcBorders>
            <w:vAlign w:val="center"/>
          </w:tcPr>
          <w:p w14:paraId="6C58D7F4">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0.1659</w:t>
            </w:r>
          </w:p>
        </w:tc>
        <w:tc>
          <w:tcPr>
            <w:tcW w:w="1400" w:type="dxa"/>
            <w:tcBorders>
              <w:top w:val="nil"/>
              <w:left w:val="nil"/>
              <w:bottom w:val="nil"/>
              <w:right w:val="nil"/>
            </w:tcBorders>
            <w:vAlign w:val="center"/>
          </w:tcPr>
          <w:p w14:paraId="04E20CD7">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0.0251</w:t>
            </w:r>
          </w:p>
        </w:tc>
        <w:tc>
          <w:tcPr>
            <w:tcW w:w="1400" w:type="dxa"/>
            <w:tcBorders>
              <w:top w:val="nil"/>
              <w:left w:val="nil"/>
              <w:bottom w:val="nil"/>
              <w:right w:val="nil"/>
            </w:tcBorders>
            <w:vAlign w:val="center"/>
          </w:tcPr>
          <w:p w14:paraId="02069E32">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0.0989</w:t>
            </w:r>
          </w:p>
        </w:tc>
        <w:tc>
          <w:tcPr>
            <w:tcW w:w="1400" w:type="dxa"/>
            <w:tcBorders>
              <w:top w:val="nil"/>
              <w:left w:val="nil"/>
              <w:bottom w:val="nil"/>
            </w:tcBorders>
            <w:vAlign w:val="center"/>
          </w:tcPr>
          <w:p w14:paraId="41855DA0">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0.2222</w:t>
            </w:r>
          </w:p>
        </w:tc>
      </w:tr>
      <w:tr w14:paraId="379C162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1400" w:type="dxa"/>
            <w:tcBorders>
              <w:top w:val="nil"/>
              <w:bottom w:val="nil"/>
              <w:right w:val="nil"/>
            </w:tcBorders>
            <w:vAlign w:val="center"/>
          </w:tcPr>
          <w:p w14:paraId="45B607AF">
            <w:pPr>
              <w:pStyle w:val="8"/>
              <w:spacing w:beforeAutospacing="0" w:afterAutospacing="0"/>
              <w:jc w:val="center"/>
              <w:rPr>
                <w:rFonts w:ascii="Times New Roman" w:hAnsi="Times New Roman"/>
                <w:sz w:val="18"/>
                <w:szCs w:val="18"/>
              </w:rPr>
            </w:pPr>
            <w:r>
              <w:rPr>
                <w:rFonts w:ascii="Times New Roman" w:hAnsi="Times New Roman"/>
                <w:sz w:val="18"/>
                <w:szCs w:val="18"/>
              </w:rPr>
              <w:t>aff</w:t>
            </w:r>
          </w:p>
        </w:tc>
        <w:tc>
          <w:tcPr>
            <w:tcW w:w="1400" w:type="dxa"/>
            <w:tcBorders>
              <w:top w:val="nil"/>
              <w:left w:val="nil"/>
              <w:bottom w:val="nil"/>
              <w:right w:val="nil"/>
            </w:tcBorders>
            <w:vAlign w:val="center"/>
          </w:tcPr>
          <w:p w14:paraId="4E4C50F4">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比值</w:t>
            </w:r>
          </w:p>
        </w:tc>
        <w:tc>
          <w:tcPr>
            <w:tcW w:w="1400" w:type="dxa"/>
            <w:tcBorders>
              <w:top w:val="nil"/>
              <w:left w:val="nil"/>
              <w:bottom w:val="nil"/>
              <w:right w:val="nil"/>
            </w:tcBorders>
            <w:vAlign w:val="center"/>
          </w:tcPr>
          <w:p w14:paraId="43791BB4">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0.1092</w:t>
            </w:r>
          </w:p>
        </w:tc>
        <w:tc>
          <w:tcPr>
            <w:tcW w:w="1400" w:type="dxa"/>
            <w:tcBorders>
              <w:top w:val="nil"/>
              <w:left w:val="nil"/>
              <w:bottom w:val="nil"/>
              <w:right w:val="nil"/>
            </w:tcBorders>
            <w:vAlign w:val="center"/>
          </w:tcPr>
          <w:p w14:paraId="1FC46A7A">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0.0311</w:t>
            </w:r>
          </w:p>
        </w:tc>
        <w:tc>
          <w:tcPr>
            <w:tcW w:w="1400" w:type="dxa"/>
            <w:tcBorders>
              <w:top w:val="nil"/>
              <w:left w:val="nil"/>
              <w:bottom w:val="nil"/>
              <w:right w:val="nil"/>
            </w:tcBorders>
            <w:vAlign w:val="center"/>
          </w:tcPr>
          <w:p w14:paraId="4091BAE1">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0.0287</w:t>
            </w:r>
          </w:p>
        </w:tc>
        <w:tc>
          <w:tcPr>
            <w:tcW w:w="1400" w:type="dxa"/>
            <w:tcBorders>
              <w:top w:val="nil"/>
              <w:left w:val="nil"/>
              <w:bottom w:val="nil"/>
            </w:tcBorders>
            <w:vAlign w:val="center"/>
          </w:tcPr>
          <w:p w14:paraId="23B8CF40">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0.1897</w:t>
            </w:r>
          </w:p>
        </w:tc>
      </w:tr>
      <w:tr w14:paraId="2BD6109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400" w:type="dxa"/>
            <w:tcBorders>
              <w:top w:val="nil"/>
              <w:bottom w:val="single" w:color="auto" w:sz="6" w:space="0"/>
              <w:right w:val="nil"/>
            </w:tcBorders>
            <w:vAlign w:val="center"/>
          </w:tcPr>
          <w:p w14:paraId="4BE22BEA">
            <w:pPr>
              <w:pStyle w:val="8"/>
              <w:spacing w:beforeAutospacing="0" w:afterAutospacing="0"/>
              <w:jc w:val="center"/>
              <w:rPr>
                <w:rFonts w:ascii="Times New Roman" w:hAnsi="Times New Roman"/>
                <w:sz w:val="18"/>
                <w:szCs w:val="18"/>
              </w:rPr>
            </w:pPr>
            <w:r>
              <w:rPr>
                <w:rFonts w:ascii="Times New Roman" w:hAnsi="Times New Roman"/>
                <w:sz w:val="18"/>
                <w:szCs w:val="18"/>
              </w:rPr>
              <w:t>road</w:t>
            </w:r>
          </w:p>
        </w:tc>
        <w:tc>
          <w:tcPr>
            <w:tcW w:w="1400" w:type="dxa"/>
            <w:tcBorders>
              <w:top w:val="nil"/>
              <w:left w:val="nil"/>
              <w:bottom w:val="single" w:color="auto" w:sz="6" w:space="0"/>
              <w:right w:val="nil"/>
            </w:tcBorders>
            <w:vAlign w:val="center"/>
          </w:tcPr>
          <w:p w14:paraId="6A7A8E1C">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log（公里）</w:t>
            </w:r>
          </w:p>
        </w:tc>
        <w:tc>
          <w:tcPr>
            <w:tcW w:w="1400" w:type="dxa"/>
            <w:tcBorders>
              <w:top w:val="nil"/>
              <w:left w:val="nil"/>
              <w:bottom w:val="single" w:color="auto" w:sz="6" w:space="0"/>
              <w:right w:val="nil"/>
            </w:tcBorders>
            <w:vAlign w:val="center"/>
          </w:tcPr>
          <w:p w14:paraId="17CFB363">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11.5998</w:t>
            </w:r>
          </w:p>
        </w:tc>
        <w:tc>
          <w:tcPr>
            <w:tcW w:w="1400" w:type="dxa"/>
            <w:tcBorders>
              <w:top w:val="nil"/>
              <w:left w:val="nil"/>
              <w:bottom w:val="single" w:color="auto" w:sz="6" w:space="0"/>
              <w:right w:val="nil"/>
            </w:tcBorders>
            <w:vAlign w:val="center"/>
          </w:tcPr>
          <w:p w14:paraId="7F0F5144">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0.8520</w:t>
            </w:r>
          </w:p>
        </w:tc>
        <w:tc>
          <w:tcPr>
            <w:tcW w:w="1400" w:type="dxa"/>
            <w:tcBorders>
              <w:top w:val="nil"/>
              <w:left w:val="nil"/>
              <w:bottom w:val="single" w:color="auto" w:sz="6" w:space="0"/>
              <w:right w:val="nil"/>
            </w:tcBorders>
            <w:vAlign w:val="center"/>
          </w:tcPr>
          <w:p w14:paraId="752D1A7E">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9.3204</w:t>
            </w:r>
          </w:p>
        </w:tc>
        <w:tc>
          <w:tcPr>
            <w:tcW w:w="1400" w:type="dxa"/>
            <w:tcBorders>
              <w:top w:val="nil"/>
              <w:left w:val="nil"/>
              <w:bottom w:val="single" w:color="auto" w:sz="6" w:space="0"/>
            </w:tcBorders>
            <w:vAlign w:val="center"/>
          </w:tcPr>
          <w:p w14:paraId="67289EDC">
            <w:pPr>
              <w:widowControl/>
              <w:jc w:val="center"/>
              <w:textAlignment w:val="center"/>
              <w:rPr>
                <w:rFonts w:ascii="Times New Roman" w:hAnsi="Times New Roman" w:cs="Times New Roman"/>
                <w:kern w:val="0"/>
                <w:sz w:val="18"/>
                <w:szCs w:val="18"/>
                <w:lang w:bidi="ar"/>
              </w:rPr>
            </w:pPr>
            <w:r>
              <w:rPr>
                <w:rFonts w:ascii="Times New Roman" w:hAnsi="Times New Roman" w:cs="Times New Roman"/>
                <w:kern w:val="0"/>
                <w:sz w:val="18"/>
                <w:szCs w:val="18"/>
                <w:lang w:bidi="ar"/>
              </w:rPr>
              <w:t>12.7117</w:t>
            </w:r>
          </w:p>
        </w:tc>
      </w:tr>
    </w:tbl>
    <w:p w14:paraId="6EFF5546">
      <w:pPr>
        <w:spacing w:line="300" w:lineRule="auto"/>
        <w:ind w:firstLine="361" w:firstLineChars="200"/>
        <w:rPr>
          <w:rFonts w:ascii="Times New Roman" w:hAnsi="Times New Roman" w:cs="Times New Roman"/>
          <w:b/>
          <w:bCs/>
          <w:kern w:val="0"/>
          <w:sz w:val="18"/>
          <w:szCs w:val="18"/>
          <w:lang w:bidi="ar"/>
        </w:rPr>
      </w:pPr>
    </w:p>
    <w:p w14:paraId="5A825165">
      <w:pPr>
        <w:spacing w:line="300" w:lineRule="auto"/>
        <w:ind w:firstLine="482" w:firstLineChars="200"/>
        <w:jc w:val="both"/>
        <w:rPr>
          <w:b/>
          <w:bCs/>
          <w:sz w:val="24"/>
        </w:rPr>
      </w:pPr>
      <w:r>
        <w:rPr>
          <w:rFonts w:hint="eastAsia"/>
          <w:b/>
          <w:bCs/>
          <w:sz w:val="24"/>
          <w:lang w:val="en-US" w:eastAsia="zh-CN"/>
        </w:rPr>
        <w:t>三</w:t>
      </w:r>
      <w:r>
        <w:rPr>
          <w:rFonts w:hint="eastAsia"/>
          <w:b/>
          <w:bCs/>
          <w:sz w:val="24"/>
        </w:rPr>
        <w:t>、模型估计与结果分析</w:t>
      </w:r>
    </w:p>
    <w:p w14:paraId="638A5300">
      <w:pPr>
        <w:spacing w:line="300" w:lineRule="auto"/>
        <w:ind w:firstLine="422" w:firstLineChars="200"/>
        <w:rPr>
          <w:b/>
          <w:bCs/>
        </w:rPr>
      </w:pPr>
      <w:r>
        <w:rPr>
          <w:rFonts w:hint="eastAsia"/>
          <w:b/>
          <w:bCs/>
        </w:rPr>
        <w:t>（一）基准模型估计</w:t>
      </w:r>
    </w:p>
    <w:p w14:paraId="6F5FADC1">
      <w:pPr>
        <w:spacing w:line="300" w:lineRule="auto"/>
        <w:ind w:firstLine="420" w:firstLineChars="200"/>
        <w:rPr>
          <w:rFonts w:ascii="Times New Roman" w:hAnsi="Times New Roman" w:cs="Times New Roman"/>
        </w:rPr>
      </w:pPr>
      <w:r>
        <w:rPr>
          <w:rFonts w:hint="eastAsia" w:ascii="Times New Roman" w:hAnsi="Times New Roman" w:cs="Times New Roman"/>
        </w:rPr>
        <w:t>基于</w:t>
      </w:r>
      <w:r>
        <w:rPr>
          <w:rFonts w:ascii="Times New Roman" w:hAnsi="Times New Roman" w:cs="Times New Roman"/>
        </w:rPr>
        <w:t>2007-2018</w:t>
      </w:r>
      <w:r>
        <w:rPr>
          <w:rFonts w:hint="eastAsia" w:ascii="Times New Roman" w:hAnsi="Times New Roman" w:cs="Times New Roman"/>
        </w:rPr>
        <w:t>年中国30个省份面板数据，本文主要采用静态面板模型进行估计，比较随机效应和固定效应两个模型估计结果，根据Hausman检验，最终选用固定效应模型进行估计，结果如表3中的回归（1）所示。结果显示</w:t>
      </w:r>
      <w:r>
        <w:rPr>
          <w:rFonts w:hint="eastAsia"/>
        </w:rPr>
        <w:t>：农业现代化和农业劳动力转移有利于二元经济结构的优化。考虑到二元经济结构的变化可能会影响农业生产和劳动力的转移，该模型估计可能会由于反向因果等原因而存在内生性。为克服内生性，首先</w:t>
      </w:r>
      <w:r>
        <w:rPr>
          <w:rFonts w:hint="eastAsia" w:ascii="Times New Roman" w:hAnsi="Times New Roman" w:cs="Times New Roman"/>
        </w:rPr>
        <w:t>在回归（1）中将核心解释变量农业现代化和劳动力转移滞后一期，进行估计后的回归（2）结果与回归（1）的核心结论类似；其次在模型中加入被解释变量的一阶滞后项建立动态面板模型，用GMM模型进行估计，GMM主要有系统GMM和差分GMM两种估计方法，通常来说前者比后者估计更有效，因此本本采用系统GMM进行估计，回归（3）是估计结果，由结果可知核心解释变量系数依然显著为正。在使用GMM估计时，必须满足两个条件，一是误差项不存在序列相关性，二是选择的工具变量具有严格的外生性，因此对模型（3）的结果进行序列相关检验（AB检验）和Sargan检验。AR（1）检验的P值小于0.1，AR（2）检验的P值大于0.1，可判断模型的误差项不存在序列相关性；Sargan检验的P值大于0.1，可见模型选择的工具变量均有效。系统GMM通过了AB序列相关检验和Sargan检验，估计结果是可靠的。由表3的估计结果可以得出基本结论：农业现代化和农业劳动力转移均有利于二元经济结构的优化，从而前文的假说H</w:t>
      </w:r>
      <w:r>
        <w:rPr>
          <w:rFonts w:ascii="Times New Roman" w:hAnsi="Times New Roman" w:cs="Times New Roman"/>
        </w:rPr>
        <w:t>2</w:t>
      </w:r>
      <w:r>
        <w:rPr>
          <w:rFonts w:hint="eastAsia" w:ascii="Times New Roman" w:hAnsi="Times New Roman" w:cs="Times New Roman"/>
        </w:rPr>
        <w:t>得到证实。</w:t>
      </w:r>
    </w:p>
    <w:p w14:paraId="42B44313">
      <w:pPr>
        <w:pStyle w:val="8"/>
        <w:spacing w:beforeAutospacing="0" w:afterAutospacing="0" w:line="300" w:lineRule="auto"/>
        <w:jc w:val="center"/>
        <w:rPr>
          <w:rFonts w:ascii="Times New Roman" w:hAnsi="Times New Roman"/>
          <w:b/>
          <w:bCs/>
          <w:sz w:val="18"/>
          <w:szCs w:val="18"/>
        </w:rPr>
      </w:pPr>
      <w:r>
        <w:rPr>
          <w:rFonts w:ascii="Times New Roman" w:hAnsi="Times New Roman"/>
          <w:b/>
          <w:bCs/>
          <w:sz w:val="18"/>
          <w:szCs w:val="18"/>
        </w:rPr>
        <w:t>表3  农业现代化、农业劳动力转移对二元经济结构的影响</w:t>
      </w:r>
    </w:p>
    <w:tbl>
      <w:tblPr>
        <w:tblStyle w:val="10"/>
        <w:tblW w:w="7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3"/>
        <w:gridCol w:w="2292"/>
        <w:gridCol w:w="2299"/>
        <w:gridCol w:w="1725"/>
      </w:tblGrid>
      <w:tr w14:paraId="2811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533" w:type="dxa"/>
            <w:vMerge w:val="restart"/>
            <w:tcBorders>
              <w:left w:val="nil"/>
              <w:right w:val="nil"/>
            </w:tcBorders>
            <w:vAlign w:val="center"/>
          </w:tcPr>
          <w:p w14:paraId="359CCC3C">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变量</w:t>
            </w:r>
          </w:p>
        </w:tc>
        <w:tc>
          <w:tcPr>
            <w:tcW w:w="2292" w:type="dxa"/>
            <w:tcBorders>
              <w:top w:val="single" w:color="auto" w:sz="4" w:space="0"/>
              <w:left w:val="nil"/>
              <w:bottom w:val="single" w:color="auto" w:sz="4" w:space="0"/>
              <w:right w:val="nil"/>
            </w:tcBorders>
            <w:vAlign w:val="center"/>
          </w:tcPr>
          <w:p w14:paraId="67896D10">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（1）</w:t>
            </w:r>
          </w:p>
        </w:tc>
        <w:tc>
          <w:tcPr>
            <w:tcW w:w="2299" w:type="dxa"/>
            <w:tcBorders>
              <w:top w:val="single" w:color="auto" w:sz="4" w:space="0"/>
              <w:left w:val="nil"/>
              <w:bottom w:val="single" w:color="auto" w:sz="4" w:space="0"/>
              <w:right w:val="nil"/>
            </w:tcBorders>
            <w:vAlign w:val="center"/>
          </w:tcPr>
          <w:p w14:paraId="3F9C439F">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（2）</w:t>
            </w:r>
          </w:p>
        </w:tc>
        <w:tc>
          <w:tcPr>
            <w:tcW w:w="1725" w:type="dxa"/>
            <w:tcBorders>
              <w:top w:val="single" w:color="auto" w:sz="4" w:space="0"/>
              <w:left w:val="nil"/>
              <w:bottom w:val="single" w:color="auto" w:sz="4" w:space="0"/>
              <w:right w:val="nil"/>
            </w:tcBorders>
            <w:vAlign w:val="center"/>
          </w:tcPr>
          <w:p w14:paraId="60C5E093">
            <w:pPr>
              <w:pStyle w:val="8"/>
              <w:spacing w:beforeAutospacing="0" w:afterAutospacing="0"/>
              <w:jc w:val="center"/>
              <w:rPr>
                <w:rFonts w:ascii="Times New Roman" w:hAnsi="Times New Roman"/>
                <w:b/>
                <w:bCs/>
                <w:sz w:val="18"/>
                <w:szCs w:val="18"/>
              </w:rPr>
            </w:pPr>
            <w:r>
              <w:rPr>
                <w:rFonts w:ascii="Times New Roman" w:hAnsi="Times New Roman"/>
                <w:b/>
                <w:bCs/>
                <w:sz w:val="18"/>
                <w:szCs w:val="18"/>
              </w:rPr>
              <w:t>（3）</w:t>
            </w:r>
          </w:p>
        </w:tc>
      </w:tr>
      <w:tr w14:paraId="05CDB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533" w:type="dxa"/>
            <w:vMerge w:val="continue"/>
            <w:tcBorders>
              <w:left w:val="nil"/>
              <w:bottom w:val="single" w:color="auto" w:sz="4" w:space="0"/>
              <w:right w:val="nil"/>
            </w:tcBorders>
            <w:vAlign w:val="center"/>
          </w:tcPr>
          <w:p w14:paraId="67F6D774">
            <w:pPr>
              <w:pStyle w:val="8"/>
              <w:spacing w:beforeAutospacing="0" w:afterAutospacing="0"/>
              <w:jc w:val="center"/>
              <w:rPr>
                <w:rFonts w:ascii="Times New Roman" w:hAnsi="Times New Roman"/>
                <w:sz w:val="18"/>
                <w:szCs w:val="18"/>
              </w:rPr>
            </w:pPr>
          </w:p>
        </w:tc>
        <w:tc>
          <w:tcPr>
            <w:tcW w:w="2292" w:type="dxa"/>
            <w:tcBorders>
              <w:top w:val="single" w:color="auto" w:sz="4" w:space="0"/>
              <w:left w:val="nil"/>
              <w:bottom w:val="single" w:color="auto" w:sz="4" w:space="0"/>
              <w:right w:val="nil"/>
            </w:tcBorders>
            <w:vAlign w:val="center"/>
          </w:tcPr>
          <w:p w14:paraId="34565C3A">
            <w:pPr>
              <w:pStyle w:val="8"/>
              <w:spacing w:beforeAutospacing="0" w:afterAutospacing="0"/>
              <w:jc w:val="center"/>
              <w:rPr>
                <w:rFonts w:ascii="Times New Roman" w:hAnsi="Times New Roman"/>
                <w:sz w:val="18"/>
                <w:szCs w:val="18"/>
              </w:rPr>
            </w:pPr>
            <w:r>
              <w:rPr>
                <w:rFonts w:ascii="Times New Roman" w:hAnsi="Times New Roman"/>
                <w:b/>
                <w:bCs/>
                <w:sz w:val="18"/>
                <w:szCs w:val="18"/>
              </w:rPr>
              <w:t>FE</w:t>
            </w:r>
          </w:p>
        </w:tc>
        <w:tc>
          <w:tcPr>
            <w:tcW w:w="2299" w:type="dxa"/>
            <w:tcBorders>
              <w:top w:val="single" w:color="auto" w:sz="4" w:space="0"/>
              <w:left w:val="nil"/>
              <w:bottom w:val="single" w:color="auto" w:sz="4" w:space="0"/>
              <w:right w:val="nil"/>
            </w:tcBorders>
            <w:vAlign w:val="center"/>
          </w:tcPr>
          <w:p w14:paraId="034A0E93">
            <w:pPr>
              <w:pStyle w:val="8"/>
              <w:spacing w:beforeAutospacing="0" w:afterAutospacing="0"/>
              <w:jc w:val="center"/>
              <w:rPr>
                <w:rFonts w:ascii="Times New Roman" w:hAnsi="Times New Roman"/>
                <w:sz w:val="18"/>
                <w:szCs w:val="18"/>
              </w:rPr>
            </w:pPr>
            <w:r>
              <w:rPr>
                <w:rFonts w:ascii="Times New Roman" w:hAnsi="Times New Roman"/>
                <w:b/>
                <w:bCs/>
                <w:sz w:val="18"/>
                <w:szCs w:val="18"/>
              </w:rPr>
              <w:t>FE</w:t>
            </w:r>
          </w:p>
        </w:tc>
        <w:tc>
          <w:tcPr>
            <w:tcW w:w="1725" w:type="dxa"/>
            <w:tcBorders>
              <w:top w:val="single" w:color="auto" w:sz="4" w:space="0"/>
              <w:left w:val="nil"/>
              <w:bottom w:val="single" w:color="auto" w:sz="4" w:space="0"/>
              <w:right w:val="nil"/>
            </w:tcBorders>
            <w:vAlign w:val="center"/>
          </w:tcPr>
          <w:p w14:paraId="04843349">
            <w:pPr>
              <w:pStyle w:val="8"/>
              <w:spacing w:beforeAutospacing="0" w:afterAutospacing="0"/>
              <w:jc w:val="center"/>
              <w:rPr>
                <w:rFonts w:ascii="Times New Roman" w:hAnsi="Times New Roman"/>
                <w:sz w:val="18"/>
                <w:szCs w:val="18"/>
              </w:rPr>
            </w:pPr>
            <w:r>
              <w:rPr>
                <w:rFonts w:ascii="Times New Roman" w:hAnsi="Times New Roman"/>
                <w:b/>
                <w:bCs/>
                <w:sz w:val="18"/>
                <w:szCs w:val="18"/>
              </w:rPr>
              <w:t>SYS-GMM</w:t>
            </w:r>
          </w:p>
        </w:tc>
      </w:tr>
      <w:tr w14:paraId="2C7A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533" w:type="dxa"/>
            <w:tcBorders>
              <w:top w:val="single" w:color="auto" w:sz="4" w:space="0"/>
              <w:left w:val="nil"/>
              <w:bottom w:val="nil"/>
              <w:right w:val="nil"/>
            </w:tcBorders>
            <w:vAlign w:val="center"/>
          </w:tcPr>
          <w:p w14:paraId="5EAE9705">
            <w:pPr>
              <w:pStyle w:val="8"/>
              <w:spacing w:beforeAutospacing="0" w:afterAutospacing="0"/>
              <w:jc w:val="center"/>
              <w:rPr>
                <w:rFonts w:ascii="Times New Roman" w:hAnsi="Times New Roman"/>
                <w:sz w:val="18"/>
                <w:szCs w:val="18"/>
              </w:rPr>
            </w:pPr>
            <w:r>
              <w:rPr>
                <w:rFonts w:ascii="Times New Roman" w:hAnsi="Times New Roman"/>
                <w:sz w:val="18"/>
                <w:szCs w:val="18"/>
              </w:rPr>
              <w:t>agr</w:t>
            </w:r>
          </w:p>
        </w:tc>
        <w:tc>
          <w:tcPr>
            <w:tcW w:w="2292" w:type="dxa"/>
            <w:tcBorders>
              <w:top w:val="single" w:color="auto" w:sz="4" w:space="0"/>
              <w:left w:val="nil"/>
              <w:bottom w:val="nil"/>
              <w:right w:val="nil"/>
            </w:tcBorders>
            <w:vAlign w:val="center"/>
          </w:tcPr>
          <w:p w14:paraId="6C6B9CCA">
            <w:pPr>
              <w:pStyle w:val="8"/>
              <w:spacing w:beforeAutospacing="0" w:afterAutospacing="0"/>
              <w:jc w:val="center"/>
              <w:rPr>
                <w:rFonts w:ascii="Times New Roman" w:hAnsi="Times New Roman"/>
                <w:sz w:val="18"/>
                <w:szCs w:val="18"/>
              </w:rPr>
            </w:pPr>
            <w:r>
              <w:rPr>
                <w:rFonts w:ascii="Times New Roman" w:hAnsi="Times New Roman"/>
                <w:sz w:val="18"/>
                <w:szCs w:val="18"/>
              </w:rPr>
              <w:t>1.0774 ***</w:t>
            </w:r>
          </w:p>
          <w:p w14:paraId="6D90C09B">
            <w:pPr>
              <w:pStyle w:val="8"/>
              <w:spacing w:beforeAutospacing="0" w:afterAutospacing="0"/>
              <w:jc w:val="center"/>
              <w:rPr>
                <w:rFonts w:ascii="Times New Roman" w:hAnsi="Times New Roman"/>
                <w:sz w:val="18"/>
                <w:szCs w:val="18"/>
              </w:rPr>
            </w:pPr>
            <w:r>
              <w:rPr>
                <w:rFonts w:ascii="Times New Roman" w:hAnsi="Times New Roman"/>
                <w:sz w:val="18"/>
                <w:szCs w:val="18"/>
              </w:rPr>
              <w:t>（71.65）</w:t>
            </w:r>
          </w:p>
        </w:tc>
        <w:tc>
          <w:tcPr>
            <w:tcW w:w="2299" w:type="dxa"/>
            <w:tcBorders>
              <w:top w:val="single" w:color="auto" w:sz="4" w:space="0"/>
              <w:left w:val="nil"/>
              <w:bottom w:val="nil"/>
              <w:right w:val="nil"/>
            </w:tcBorders>
            <w:vAlign w:val="center"/>
          </w:tcPr>
          <w:p w14:paraId="430000E0">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1725" w:type="dxa"/>
            <w:tcBorders>
              <w:top w:val="single" w:color="auto" w:sz="4" w:space="0"/>
              <w:left w:val="nil"/>
              <w:bottom w:val="nil"/>
              <w:right w:val="nil"/>
            </w:tcBorders>
            <w:vAlign w:val="center"/>
          </w:tcPr>
          <w:p w14:paraId="7F21378E">
            <w:pPr>
              <w:pStyle w:val="8"/>
              <w:spacing w:beforeAutospacing="0" w:afterAutospacing="0"/>
              <w:jc w:val="center"/>
              <w:rPr>
                <w:rFonts w:ascii="Times New Roman" w:hAnsi="Times New Roman"/>
                <w:sz w:val="18"/>
                <w:szCs w:val="18"/>
              </w:rPr>
            </w:pPr>
            <w:r>
              <w:rPr>
                <w:rFonts w:ascii="Times New Roman" w:hAnsi="Times New Roman"/>
                <w:sz w:val="18"/>
                <w:szCs w:val="18"/>
              </w:rPr>
              <w:t>1.0892***</w:t>
            </w:r>
          </w:p>
          <w:p w14:paraId="3BD59450">
            <w:pPr>
              <w:pStyle w:val="8"/>
              <w:spacing w:beforeAutospacing="0" w:afterAutospacing="0"/>
              <w:jc w:val="center"/>
              <w:rPr>
                <w:rFonts w:ascii="Times New Roman" w:hAnsi="Times New Roman"/>
                <w:sz w:val="18"/>
                <w:szCs w:val="18"/>
              </w:rPr>
            </w:pPr>
            <w:r>
              <w:rPr>
                <w:rFonts w:ascii="Times New Roman" w:hAnsi="Times New Roman"/>
                <w:sz w:val="18"/>
                <w:szCs w:val="18"/>
              </w:rPr>
              <w:t>（84.78）</w:t>
            </w:r>
          </w:p>
        </w:tc>
      </w:tr>
      <w:tr w14:paraId="40CE7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29BD0D79">
            <w:pPr>
              <w:pStyle w:val="8"/>
              <w:spacing w:beforeAutospacing="0" w:afterAutospacing="0"/>
              <w:jc w:val="center"/>
              <w:rPr>
                <w:rFonts w:ascii="Times New Roman" w:hAnsi="Times New Roman"/>
                <w:sz w:val="18"/>
                <w:szCs w:val="18"/>
              </w:rPr>
            </w:pPr>
            <w:r>
              <w:rPr>
                <w:rFonts w:ascii="Times New Roman" w:hAnsi="Times New Roman"/>
                <w:sz w:val="18"/>
                <w:szCs w:val="18"/>
              </w:rPr>
              <w:t>tran</w:t>
            </w:r>
          </w:p>
        </w:tc>
        <w:tc>
          <w:tcPr>
            <w:tcW w:w="2292" w:type="dxa"/>
            <w:tcBorders>
              <w:top w:val="nil"/>
              <w:left w:val="nil"/>
              <w:bottom w:val="nil"/>
              <w:right w:val="nil"/>
            </w:tcBorders>
            <w:vAlign w:val="center"/>
          </w:tcPr>
          <w:p w14:paraId="7D2126D0">
            <w:pPr>
              <w:pStyle w:val="8"/>
              <w:spacing w:beforeAutospacing="0" w:afterAutospacing="0"/>
              <w:jc w:val="center"/>
              <w:rPr>
                <w:rFonts w:ascii="Times New Roman" w:hAnsi="Times New Roman"/>
                <w:sz w:val="18"/>
                <w:szCs w:val="18"/>
              </w:rPr>
            </w:pPr>
            <w:r>
              <w:rPr>
                <w:rFonts w:ascii="Times New Roman" w:hAnsi="Times New Roman"/>
                <w:sz w:val="18"/>
                <w:szCs w:val="18"/>
              </w:rPr>
              <w:t>0.0007***</w:t>
            </w:r>
          </w:p>
          <w:p w14:paraId="29139A58">
            <w:pPr>
              <w:pStyle w:val="8"/>
              <w:spacing w:beforeAutospacing="0" w:afterAutospacing="0"/>
              <w:jc w:val="center"/>
              <w:rPr>
                <w:rFonts w:ascii="Times New Roman" w:hAnsi="Times New Roman"/>
                <w:sz w:val="18"/>
                <w:szCs w:val="18"/>
              </w:rPr>
            </w:pPr>
            <w:r>
              <w:rPr>
                <w:rFonts w:ascii="Times New Roman" w:hAnsi="Times New Roman"/>
                <w:sz w:val="18"/>
                <w:szCs w:val="18"/>
              </w:rPr>
              <w:t>（3.71）</w:t>
            </w:r>
          </w:p>
        </w:tc>
        <w:tc>
          <w:tcPr>
            <w:tcW w:w="2299" w:type="dxa"/>
            <w:tcBorders>
              <w:top w:val="nil"/>
              <w:left w:val="nil"/>
              <w:bottom w:val="nil"/>
              <w:right w:val="nil"/>
            </w:tcBorders>
            <w:vAlign w:val="center"/>
          </w:tcPr>
          <w:p w14:paraId="42C28494">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1725" w:type="dxa"/>
            <w:tcBorders>
              <w:top w:val="nil"/>
              <w:left w:val="nil"/>
              <w:bottom w:val="nil"/>
              <w:right w:val="nil"/>
            </w:tcBorders>
            <w:vAlign w:val="center"/>
          </w:tcPr>
          <w:p w14:paraId="731B29AA">
            <w:pPr>
              <w:pStyle w:val="8"/>
              <w:spacing w:beforeAutospacing="0" w:afterAutospacing="0"/>
              <w:jc w:val="center"/>
              <w:rPr>
                <w:rFonts w:ascii="Times New Roman" w:hAnsi="Times New Roman"/>
                <w:sz w:val="18"/>
                <w:szCs w:val="18"/>
              </w:rPr>
            </w:pPr>
            <w:r>
              <w:rPr>
                <w:rFonts w:ascii="Times New Roman" w:hAnsi="Times New Roman"/>
                <w:sz w:val="18"/>
                <w:szCs w:val="18"/>
              </w:rPr>
              <w:t>0.0009***</w:t>
            </w:r>
          </w:p>
          <w:p w14:paraId="071E7166">
            <w:pPr>
              <w:pStyle w:val="8"/>
              <w:spacing w:beforeAutospacing="0" w:afterAutospacing="0"/>
              <w:jc w:val="center"/>
              <w:rPr>
                <w:rFonts w:ascii="Times New Roman" w:hAnsi="Times New Roman"/>
                <w:sz w:val="18"/>
                <w:szCs w:val="18"/>
              </w:rPr>
            </w:pPr>
            <w:r>
              <w:rPr>
                <w:rFonts w:ascii="Times New Roman" w:hAnsi="Times New Roman"/>
                <w:sz w:val="18"/>
                <w:szCs w:val="18"/>
              </w:rPr>
              <w:t>（4.49）</w:t>
            </w:r>
          </w:p>
        </w:tc>
      </w:tr>
      <w:tr w14:paraId="5D9D7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4B93D923">
            <w:pPr>
              <w:pStyle w:val="8"/>
              <w:spacing w:beforeAutospacing="0" w:afterAutospacing="0"/>
              <w:jc w:val="center"/>
              <w:rPr>
                <w:rFonts w:ascii="Times New Roman" w:hAnsi="Times New Roman"/>
                <w:sz w:val="18"/>
                <w:szCs w:val="18"/>
              </w:rPr>
            </w:pPr>
            <w:r>
              <w:rPr>
                <w:rFonts w:ascii="Times New Roman" w:hAnsi="Times New Roman"/>
                <w:sz w:val="18"/>
                <w:szCs w:val="18"/>
              </w:rPr>
              <w:t>L1.agr</w:t>
            </w:r>
          </w:p>
        </w:tc>
        <w:tc>
          <w:tcPr>
            <w:tcW w:w="2292" w:type="dxa"/>
            <w:tcBorders>
              <w:top w:val="nil"/>
              <w:left w:val="nil"/>
              <w:bottom w:val="nil"/>
              <w:right w:val="nil"/>
            </w:tcBorders>
            <w:vAlign w:val="center"/>
          </w:tcPr>
          <w:p w14:paraId="7393FFC0">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2299" w:type="dxa"/>
            <w:tcBorders>
              <w:top w:val="nil"/>
              <w:left w:val="nil"/>
              <w:bottom w:val="nil"/>
              <w:right w:val="nil"/>
            </w:tcBorders>
            <w:vAlign w:val="center"/>
          </w:tcPr>
          <w:p w14:paraId="2ADCADA9">
            <w:pPr>
              <w:pStyle w:val="8"/>
              <w:spacing w:beforeAutospacing="0" w:afterAutospacing="0"/>
              <w:jc w:val="center"/>
              <w:rPr>
                <w:rFonts w:ascii="Times New Roman" w:hAnsi="Times New Roman"/>
                <w:sz w:val="18"/>
                <w:szCs w:val="18"/>
              </w:rPr>
            </w:pPr>
            <w:r>
              <w:rPr>
                <w:rFonts w:ascii="Times New Roman" w:hAnsi="Times New Roman"/>
                <w:sz w:val="18"/>
                <w:szCs w:val="18"/>
              </w:rPr>
              <w:t>0.5001***</w:t>
            </w:r>
          </w:p>
          <w:p w14:paraId="65BD1739">
            <w:pPr>
              <w:pStyle w:val="8"/>
              <w:spacing w:beforeAutospacing="0" w:afterAutospacing="0"/>
              <w:jc w:val="center"/>
              <w:rPr>
                <w:rFonts w:ascii="Times New Roman" w:hAnsi="Times New Roman"/>
                <w:sz w:val="18"/>
                <w:szCs w:val="18"/>
              </w:rPr>
            </w:pPr>
            <w:r>
              <w:rPr>
                <w:rFonts w:ascii="Times New Roman" w:hAnsi="Times New Roman"/>
                <w:sz w:val="18"/>
                <w:szCs w:val="18"/>
              </w:rPr>
              <w:t>（7.13）</w:t>
            </w:r>
          </w:p>
        </w:tc>
        <w:tc>
          <w:tcPr>
            <w:tcW w:w="1725" w:type="dxa"/>
            <w:tcBorders>
              <w:top w:val="nil"/>
              <w:left w:val="nil"/>
              <w:bottom w:val="nil"/>
              <w:right w:val="nil"/>
            </w:tcBorders>
            <w:vAlign w:val="center"/>
          </w:tcPr>
          <w:p w14:paraId="3F3EC46C">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r>
      <w:tr w14:paraId="2818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18BD0D6D">
            <w:pPr>
              <w:pStyle w:val="8"/>
              <w:spacing w:beforeAutospacing="0" w:afterAutospacing="0"/>
              <w:jc w:val="center"/>
              <w:rPr>
                <w:rFonts w:ascii="Cambria Math" w:hAnsi="Cambria Math"/>
                <w:sz w:val="18"/>
                <w:szCs w:val="18"/>
                <w:oMath/>
              </w:rPr>
            </w:pPr>
            <w:r>
              <w:rPr>
                <w:rFonts w:ascii="Times New Roman" w:hAnsi="Times New Roman"/>
                <w:sz w:val="18"/>
                <w:szCs w:val="18"/>
              </w:rPr>
              <w:t>L1.tran</w:t>
            </w:r>
          </w:p>
        </w:tc>
        <w:tc>
          <w:tcPr>
            <w:tcW w:w="2292" w:type="dxa"/>
            <w:tcBorders>
              <w:top w:val="nil"/>
              <w:left w:val="nil"/>
              <w:bottom w:val="nil"/>
              <w:right w:val="nil"/>
            </w:tcBorders>
            <w:vAlign w:val="center"/>
          </w:tcPr>
          <w:p w14:paraId="14E16E1C">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2299" w:type="dxa"/>
            <w:tcBorders>
              <w:top w:val="nil"/>
              <w:left w:val="nil"/>
              <w:bottom w:val="nil"/>
              <w:right w:val="nil"/>
            </w:tcBorders>
            <w:vAlign w:val="center"/>
          </w:tcPr>
          <w:p w14:paraId="7B25980B">
            <w:pPr>
              <w:pStyle w:val="8"/>
              <w:spacing w:beforeAutospacing="0" w:afterAutospacing="0"/>
              <w:jc w:val="center"/>
              <w:rPr>
                <w:rFonts w:ascii="Times New Roman" w:hAnsi="Times New Roman"/>
                <w:sz w:val="18"/>
                <w:szCs w:val="18"/>
              </w:rPr>
            </w:pPr>
            <w:r>
              <w:rPr>
                <w:rFonts w:ascii="Times New Roman" w:hAnsi="Times New Roman"/>
                <w:sz w:val="18"/>
                <w:szCs w:val="18"/>
              </w:rPr>
              <w:t>0.0040*</w:t>
            </w:r>
          </w:p>
          <w:p w14:paraId="21E035CF">
            <w:pPr>
              <w:pStyle w:val="8"/>
              <w:spacing w:beforeAutospacing="0" w:afterAutospacing="0"/>
              <w:jc w:val="center"/>
              <w:rPr>
                <w:rFonts w:ascii="Times New Roman" w:hAnsi="Times New Roman"/>
                <w:sz w:val="18"/>
                <w:szCs w:val="18"/>
              </w:rPr>
            </w:pPr>
            <w:r>
              <w:rPr>
                <w:rFonts w:ascii="Times New Roman" w:hAnsi="Times New Roman"/>
                <w:sz w:val="18"/>
                <w:szCs w:val="18"/>
              </w:rPr>
              <w:t>（1.88）</w:t>
            </w:r>
          </w:p>
        </w:tc>
        <w:tc>
          <w:tcPr>
            <w:tcW w:w="1725" w:type="dxa"/>
            <w:tcBorders>
              <w:top w:val="nil"/>
              <w:left w:val="nil"/>
              <w:bottom w:val="nil"/>
              <w:right w:val="nil"/>
            </w:tcBorders>
            <w:vAlign w:val="center"/>
          </w:tcPr>
          <w:p w14:paraId="6CC6ACB3">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r>
      <w:tr w14:paraId="6567A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25299B50">
            <w:pPr>
              <w:pStyle w:val="8"/>
              <w:spacing w:beforeAutospacing="0" w:afterAutospacing="0"/>
              <w:jc w:val="center"/>
              <w:rPr>
                <w:rFonts w:ascii="Cambria Math" w:hAnsi="Cambria Math"/>
                <w:sz w:val="18"/>
                <w:szCs w:val="18"/>
                <w:oMath/>
              </w:rPr>
            </w:pPr>
            <w:r>
              <w:rPr>
                <w:rFonts w:ascii="Times New Roman" w:hAnsi="Times New Roman"/>
                <w:sz w:val="18"/>
                <w:szCs w:val="18"/>
              </w:rPr>
              <w:t>L1.stru</w:t>
            </w:r>
          </w:p>
        </w:tc>
        <w:tc>
          <w:tcPr>
            <w:tcW w:w="2292" w:type="dxa"/>
            <w:tcBorders>
              <w:top w:val="nil"/>
              <w:left w:val="nil"/>
              <w:bottom w:val="nil"/>
              <w:right w:val="nil"/>
            </w:tcBorders>
            <w:vAlign w:val="center"/>
          </w:tcPr>
          <w:p w14:paraId="5316FD84">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2299" w:type="dxa"/>
            <w:tcBorders>
              <w:top w:val="nil"/>
              <w:left w:val="nil"/>
              <w:bottom w:val="nil"/>
              <w:right w:val="nil"/>
            </w:tcBorders>
            <w:vAlign w:val="center"/>
          </w:tcPr>
          <w:p w14:paraId="43CAED24">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1725" w:type="dxa"/>
            <w:tcBorders>
              <w:top w:val="nil"/>
              <w:left w:val="nil"/>
              <w:bottom w:val="nil"/>
              <w:right w:val="nil"/>
            </w:tcBorders>
            <w:vAlign w:val="center"/>
          </w:tcPr>
          <w:p w14:paraId="1CBDF63F">
            <w:pPr>
              <w:pStyle w:val="8"/>
              <w:spacing w:beforeAutospacing="0" w:afterAutospacing="0"/>
              <w:jc w:val="center"/>
              <w:rPr>
                <w:rFonts w:ascii="Times New Roman" w:hAnsi="Times New Roman"/>
                <w:sz w:val="18"/>
                <w:szCs w:val="18"/>
              </w:rPr>
            </w:pPr>
            <w:r>
              <w:rPr>
                <w:rFonts w:ascii="Times New Roman" w:hAnsi="Times New Roman"/>
                <w:sz w:val="18"/>
                <w:szCs w:val="18"/>
              </w:rPr>
              <w:t>-0.0016</w:t>
            </w:r>
          </w:p>
          <w:p w14:paraId="3C8F07B0">
            <w:pPr>
              <w:pStyle w:val="8"/>
              <w:spacing w:beforeAutospacing="0" w:afterAutospacing="0"/>
              <w:jc w:val="center"/>
              <w:rPr>
                <w:rFonts w:ascii="Times New Roman" w:hAnsi="Times New Roman"/>
                <w:sz w:val="18"/>
                <w:szCs w:val="18"/>
              </w:rPr>
            </w:pPr>
            <w:r>
              <w:rPr>
                <w:rFonts w:ascii="Times New Roman" w:hAnsi="Times New Roman"/>
                <w:sz w:val="18"/>
                <w:szCs w:val="18"/>
              </w:rPr>
              <w:t>（-0.28）</w:t>
            </w:r>
          </w:p>
        </w:tc>
      </w:tr>
      <w:tr w14:paraId="30D35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2BF7F3BC">
            <w:pPr>
              <w:pStyle w:val="8"/>
              <w:spacing w:beforeAutospacing="0" w:afterAutospacing="0"/>
              <w:jc w:val="center"/>
              <w:rPr>
                <w:rFonts w:ascii="Cambria Math" w:hAnsi="Cambria Math"/>
                <w:sz w:val="18"/>
                <w:szCs w:val="18"/>
                <w:oMath/>
              </w:rPr>
            </w:pPr>
            <w:r>
              <w:rPr>
                <w:rFonts w:ascii="Times New Roman" w:hAnsi="Times New Roman"/>
                <w:sz w:val="18"/>
                <w:szCs w:val="18"/>
              </w:rPr>
              <w:t>pgdp</w:t>
            </w:r>
          </w:p>
        </w:tc>
        <w:tc>
          <w:tcPr>
            <w:tcW w:w="2292" w:type="dxa"/>
            <w:tcBorders>
              <w:top w:val="nil"/>
              <w:left w:val="nil"/>
              <w:bottom w:val="nil"/>
              <w:right w:val="nil"/>
            </w:tcBorders>
            <w:vAlign w:val="center"/>
          </w:tcPr>
          <w:p w14:paraId="5E45D750">
            <w:pPr>
              <w:pStyle w:val="8"/>
              <w:spacing w:beforeAutospacing="0" w:afterAutospacing="0"/>
              <w:jc w:val="center"/>
              <w:rPr>
                <w:rFonts w:ascii="Times New Roman" w:hAnsi="Times New Roman"/>
                <w:sz w:val="18"/>
                <w:szCs w:val="18"/>
              </w:rPr>
            </w:pPr>
            <w:r>
              <w:rPr>
                <w:rFonts w:ascii="Times New Roman" w:hAnsi="Times New Roman"/>
                <w:sz w:val="18"/>
                <w:szCs w:val="18"/>
              </w:rPr>
              <w:t>0.0127***</w:t>
            </w:r>
          </w:p>
          <w:p w14:paraId="07CDD0BB">
            <w:pPr>
              <w:pStyle w:val="8"/>
              <w:spacing w:beforeAutospacing="0" w:afterAutospacing="0"/>
              <w:jc w:val="center"/>
              <w:rPr>
                <w:rFonts w:ascii="Times New Roman" w:hAnsi="Times New Roman"/>
                <w:sz w:val="18"/>
                <w:szCs w:val="18"/>
              </w:rPr>
            </w:pPr>
            <w:r>
              <w:rPr>
                <w:rFonts w:ascii="Times New Roman" w:hAnsi="Times New Roman"/>
                <w:sz w:val="18"/>
                <w:szCs w:val="18"/>
              </w:rPr>
              <w:t>（8.07）</w:t>
            </w:r>
          </w:p>
        </w:tc>
        <w:tc>
          <w:tcPr>
            <w:tcW w:w="2299" w:type="dxa"/>
            <w:tcBorders>
              <w:top w:val="nil"/>
              <w:left w:val="nil"/>
              <w:bottom w:val="nil"/>
              <w:right w:val="nil"/>
            </w:tcBorders>
            <w:vAlign w:val="center"/>
          </w:tcPr>
          <w:p w14:paraId="4071165D">
            <w:pPr>
              <w:pStyle w:val="8"/>
              <w:spacing w:beforeAutospacing="0" w:afterAutospacing="0"/>
              <w:jc w:val="center"/>
              <w:rPr>
                <w:rFonts w:ascii="Times New Roman" w:hAnsi="Times New Roman"/>
                <w:sz w:val="18"/>
                <w:szCs w:val="18"/>
              </w:rPr>
            </w:pPr>
            <w:r>
              <w:rPr>
                <w:rFonts w:ascii="Times New Roman" w:hAnsi="Times New Roman"/>
                <w:sz w:val="18"/>
                <w:szCs w:val="18"/>
              </w:rPr>
              <w:t>0.0394***</w:t>
            </w:r>
          </w:p>
          <w:p w14:paraId="28BE9C38">
            <w:pPr>
              <w:pStyle w:val="8"/>
              <w:spacing w:beforeAutospacing="0" w:afterAutospacing="0"/>
              <w:jc w:val="center"/>
              <w:rPr>
                <w:rFonts w:ascii="Times New Roman" w:hAnsi="Times New Roman"/>
                <w:sz w:val="18"/>
                <w:szCs w:val="18"/>
              </w:rPr>
            </w:pPr>
            <w:r>
              <w:rPr>
                <w:rFonts w:ascii="Times New Roman" w:hAnsi="Times New Roman"/>
                <w:sz w:val="18"/>
                <w:szCs w:val="18"/>
              </w:rPr>
              <w:t>（3.42）</w:t>
            </w:r>
          </w:p>
        </w:tc>
        <w:tc>
          <w:tcPr>
            <w:tcW w:w="1725" w:type="dxa"/>
            <w:tcBorders>
              <w:top w:val="nil"/>
              <w:left w:val="nil"/>
              <w:bottom w:val="nil"/>
              <w:right w:val="nil"/>
            </w:tcBorders>
            <w:vAlign w:val="center"/>
          </w:tcPr>
          <w:p w14:paraId="2B59EE0D">
            <w:pPr>
              <w:pStyle w:val="8"/>
              <w:spacing w:beforeAutospacing="0" w:afterAutospacing="0"/>
              <w:jc w:val="center"/>
              <w:rPr>
                <w:rFonts w:ascii="Times New Roman" w:hAnsi="Times New Roman"/>
                <w:sz w:val="18"/>
                <w:szCs w:val="18"/>
              </w:rPr>
            </w:pPr>
            <w:r>
              <w:rPr>
                <w:rFonts w:ascii="Times New Roman" w:hAnsi="Times New Roman"/>
                <w:sz w:val="18"/>
                <w:szCs w:val="18"/>
              </w:rPr>
              <w:t>0.0122***</w:t>
            </w:r>
          </w:p>
          <w:p w14:paraId="5A366A3F">
            <w:pPr>
              <w:pStyle w:val="8"/>
              <w:spacing w:beforeAutospacing="0" w:afterAutospacing="0"/>
              <w:jc w:val="center"/>
              <w:rPr>
                <w:rFonts w:ascii="Times New Roman" w:hAnsi="Times New Roman"/>
                <w:sz w:val="18"/>
                <w:szCs w:val="18"/>
              </w:rPr>
            </w:pPr>
            <w:r>
              <w:rPr>
                <w:rFonts w:ascii="Times New Roman" w:hAnsi="Times New Roman"/>
                <w:sz w:val="18"/>
                <w:szCs w:val="18"/>
              </w:rPr>
              <w:t>（9.25）</w:t>
            </w:r>
          </w:p>
        </w:tc>
      </w:tr>
      <w:tr w14:paraId="4C64E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7DCD03B7">
            <w:pPr>
              <w:pStyle w:val="8"/>
              <w:spacing w:beforeAutospacing="0" w:afterAutospacing="0"/>
              <w:jc w:val="center"/>
              <w:rPr>
                <w:rFonts w:ascii="Cambria Math" w:hAnsi="Cambria Math"/>
                <w:sz w:val="18"/>
                <w:szCs w:val="18"/>
                <w:oMath/>
              </w:rPr>
            </w:pPr>
            <w:r>
              <w:rPr>
                <w:rFonts w:ascii="Times New Roman" w:hAnsi="Times New Roman"/>
                <w:sz w:val="18"/>
                <w:szCs w:val="18"/>
              </w:rPr>
              <w:t>indu</w:t>
            </w:r>
          </w:p>
        </w:tc>
        <w:tc>
          <w:tcPr>
            <w:tcW w:w="2292" w:type="dxa"/>
            <w:tcBorders>
              <w:top w:val="nil"/>
              <w:left w:val="nil"/>
              <w:bottom w:val="nil"/>
              <w:right w:val="nil"/>
            </w:tcBorders>
            <w:vAlign w:val="center"/>
          </w:tcPr>
          <w:p w14:paraId="3E4E8EB0">
            <w:pPr>
              <w:pStyle w:val="8"/>
              <w:spacing w:beforeAutospacing="0" w:afterAutospacing="0"/>
              <w:jc w:val="center"/>
              <w:rPr>
                <w:rFonts w:ascii="Times New Roman" w:hAnsi="Times New Roman"/>
                <w:sz w:val="18"/>
                <w:szCs w:val="18"/>
              </w:rPr>
            </w:pPr>
            <w:r>
              <w:rPr>
                <w:rFonts w:ascii="Times New Roman" w:hAnsi="Times New Roman"/>
                <w:sz w:val="18"/>
                <w:szCs w:val="18"/>
              </w:rPr>
              <w:t>0.6750***</w:t>
            </w:r>
          </w:p>
          <w:p w14:paraId="4F301AFE">
            <w:pPr>
              <w:pStyle w:val="8"/>
              <w:spacing w:beforeAutospacing="0" w:afterAutospacing="0"/>
              <w:jc w:val="center"/>
              <w:rPr>
                <w:rFonts w:ascii="Times New Roman" w:hAnsi="Times New Roman"/>
                <w:sz w:val="18"/>
                <w:szCs w:val="18"/>
              </w:rPr>
            </w:pPr>
            <w:r>
              <w:rPr>
                <w:rFonts w:ascii="Times New Roman" w:hAnsi="Times New Roman"/>
                <w:sz w:val="18"/>
                <w:szCs w:val="18"/>
              </w:rPr>
              <w:t>（19.74）</w:t>
            </w:r>
          </w:p>
        </w:tc>
        <w:tc>
          <w:tcPr>
            <w:tcW w:w="2299" w:type="dxa"/>
            <w:tcBorders>
              <w:top w:val="nil"/>
              <w:left w:val="nil"/>
              <w:bottom w:val="nil"/>
              <w:right w:val="nil"/>
            </w:tcBorders>
            <w:vAlign w:val="center"/>
          </w:tcPr>
          <w:p w14:paraId="6458FCA8">
            <w:pPr>
              <w:pStyle w:val="8"/>
              <w:spacing w:beforeAutospacing="0" w:afterAutospacing="0"/>
              <w:jc w:val="center"/>
              <w:rPr>
                <w:rFonts w:ascii="Times New Roman" w:hAnsi="Times New Roman"/>
                <w:sz w:val="18"/>
                <w:szCs w:val="18"/>
              </w:rPr>
            </w:pPr>
            <w:r>
              <w:rPr>
                <w:rFonts w:ascii="Times New Roman" w:hAnsi="Times New Roman"/>
                <w:sz w:val="18"/>
                <w:szCs w:val="18"/>
              </w:rPr>
              <w:t>-0.7237***</w:t>
            </w:r>
          </w:p>
          <w:p w14:paraId="0AE946D5">
            <w:pPr>
              <w:pStyle w:val="8"/>
              <w:spacing w:beforeAutospacing="0" w:afterAutospacing="0"/>
              <w:jc w:val="center"/>
              <w:rPr>
                <w:rFonts w:ascii="Times New Roman" w:hAnsi="Times New Roman"/>
                <w:sz w:val="18"/>
                <w:szCs w:val="18"/>
              </w:rPr>
            </w:pPr>
            <w:r>
              <w:rPr>
                <w:rFonts w:ascii="Times New Roman" w:hAnsi="Times New Roman"/>
                <w:sz w:val="18"/>
                <w:szCs w:val="18"/>
              </w:rPr>
              <w:t>（-3.98）</w:t>
            </w:r>
          </w:p>
        </w:tc>
        <w:tc>
          <w:tcPr>
            <w:tcW w:w="1725" w:type="dxa"/>
            <w:tcBorders>
              <w:top w:val="nil"/>
              <w:left w:val="nil"/>
              <w:bottom w:val="nil"/>
              <w:right w:val="nil"/>
            </w:tcBorders>
            <w:vAlign w:val="center"/>
          </w:tcPr>
          <w:p w14:paraId="08ABE963">
            <w:pPr>
              <w:pStyle w:val="8"/>
              <w:spacing w:beforeAutospacing="0" w:afterAutospacing="0"/>
              <w:jc w:val="center"/>
              <w:rPr>
                <w:rFonts w:ascii="Times New Roman" w:hAnsi="Times New Roman"/>
                <w:sz w:val="18"/>
                <w:szCs w:val="18"/>
              </w:rPr>
            </w:pPr>
            <w:r>
              <w:rPr>
                <w:rFonts w:ascii="Times New Roman" w:hAnsi="Times New Roman"/>
                <w:sz w:val="18"/>
                <w:szCs w:val="18"/>
              </w:rPr>
              <w:t>0.6997***</w:t>
            </w:r>
          </w:p>
          <w:p w14:paraId="21EBF9BD">
            <w:pPr>
              <w:pStyle w:val="8"/>
              <w:spacing w:beforeAutospacing="0" w:afterAutospacing="0"/>
              <w:jc w:val="center"/>
              <w:rPr>
                <w:rFonts w:ascii="Times New Roman" w:hAnsi="Times New Roman"/>
                <w:sz w:val="18"/>
                <w:szCs w:val="18"/>
              </w:rPr>
            </w:pPr>
            <w:r>
              <w:rPr>
                <w:rFonts w:ascii="Times New Roman" w:hAnsi="Times New Roman"/>
                <w:sz w:val="18"/>
                <w:szCs w:val="18"/>
              </w:rPr>
              <w:t>（24.25）</w:t>
            </w:r>
          </w:p>
        </w:tc>
      </w:tr>
      <w:tr w14:paraId="34377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3870CB9C">
            <w:pPr>
              <w:pStyle w:val="8"/>
              <w:spacing w:beforeAutospacing="0" w:afterAutospacing="0"/>
              <w:jc w:val="center"/>
              <w:rPr>
                <w:rFonts w:ascii="Cambria Math" w:hAnsi="Cambria Math"/>
                <w:sz w:val="18"/>
                <w:szCs w:val="18"/>
                <w:oMath/>
              </w:rPr>
            </w:pPr>
            <w:r>
              <w:rPr>
                <w:rFonts w:ascii="Times New Roman" w:hAnsi="Times New Roman"/>
                <w:sz w:val="18"/>
                <w:szCs w:val="18"/>
              </w:rPr>
              <w:t>peop</w:t>
            </w:r>
          </w:p>
        </w:tc>
        <w:tc>
          <w:tcPr>
            <w:tcW w:w="2292" w:type="dxa"/>
            <w:tcBorders>
              <w:top w:val="nil"/>
              <w:left w:val="nil"/>
              <w:bottom w:val="nil"/>
              <w:right w:val="nil"/>
            </w:tcBorders>
            <w:vAlign w:val="center"/>
          </w:tcPr>
          <w:p w14:paraId="25488C1D">
            <w:pPr>
              <w:pStyle w:val="8"/>
              <w:spacing w:beforeAutospacing="0" w:afterAutospacing="0"/>
              <w:jc w:val="center"/>
              <w:rPr>
                <w:rFonts w:ascii="Times New Roman" w:hAnsi="Times New Roman"/>
                <w:sz w:val="18"/>
                <w:szCs w:val="18"/>
              </w:rPr>
            </w:pPr>
            <w:r>
              <w:rPr>
                <w:rFonts w:ascii="Times New Roman" w:hAnsi="Times New Roman"/>
                <w:sz w:val="18"/>
                <w:szCs w:val="18"/>
              </w:rPr>
              <w:t>-0.0267***</w:t>
            </w:r>
          </w:p>
          <w:p w14:paraId="19B7B56A">
            <w:pPr>
              <w:pStyle w:val="8"/>
              <w:spacing w:beforeAutospacing="0" w:afterAutospacing="0"/>
              <w:jc w:val="center"/>
              <w:rPr>
                <w:rFonts w:ascii="Times New Roman" w:hAnsi="Times New Roman"/>
                <w:sz w:val="18"/>
                <w:szCs w:val="18"/>
              </w:rPr>
            </w:pPr>
            <w:r>
              <w:rPr>
                <w:rFonts w:ascii="Times New Roman" w:hAnsi="Times New Roman"/>
                <w:sz w:val="18"/>
                <w:szCs w:val="18"/>
              </w:rPr>
              <w:t>（-4.06）</w:t>
            </w:r>
          </w:p>
        </w:tc>
        <w:tc>
          <w:tcPr>
            <w:tcW w:w="2299" w:type="dxa"/>
            <w:tcBorders>
              <w:top w:val="nil"/>
              <w:left w:val="nil"/>
              <w:bottom w:val="nil"/>
              <w:right w:val="nil"/>
            </w:tcBorders>
            <w:vAlign w:val="center"/>
          </w:tcPr>
          <w:p w14:paraId="1246C8A2">
            <w:pPr>
              <w:pStyle w:val="8"/>
              <w:spacing w:beforeAutospacing="0" w:afterAutospacing="0"/>
              <w:jc w:val="center"/>
              <w:rPr>
                <w:rFonts w:ascii="Times New Roman" w:hAnsi="Times New Roman"/>
                <w:sz w:val="18"/>
                <w:szCs w:val="18"/>
              </w:rPr>
            </w:pPr>
            <w:r>
              <w:rPr>
                <w:rFonts w:ascii="Times New Roman" w:hAnsi="Times New Roman"/>
                <w:sz w:val="18"/>
                <w:szCs w:val="18"/>
              </w:rPr>
              <w:t>-0.1147 **</w:t>
            </w:r>
          </w:p>
          <w:p w14:paraId="28768FA2">
            <w:pPr>
              <w:pStyle w:val="8"/>
              <w:spacing w:beforeAutospacing="0" w:afterAutospacing="0"/>
              <w:jc w:val="center"/>
              <w:rPr>
                <w:rFonts w:ascii="Times New Roman" w:hAnsi="Times New Roman"/>
                <w:sz w:val="18"/>
                <w:szCs w:val="18"/>
              </w:rPr>
            </w:pPr>
            <w:r>
              <w:rPr>
                <w:rFonts w:ascii="Times New Roman" w:hAnsi="Times New Roman"/>
                <w:sz w:val="18"/>
                <w:szCs w:val="18"/>
              </w:rPr>
              <w:t>（-2.54）</w:t>
            </w:r>
          </w:p>
        </w:tc>
        <w:tc>
          <w:tcPr>
            <w:tcW w:w="1725" w:type="dxa"/>
            <w:tcBorders>
              <w:top w:val="nil"/>
              <w:left w:val="nil"/>
              <w:bottom w:val="nil"/>
              <w:right w:val="nil"/>
            </w:tcBorders>
            <w:vAlign w:val="center"/>
          </w:tcPr>
          <w:p w14:paraId="4F89E1F0">
            <w:pPr>
              <w:pStyle w:val="8"/>
              <w:spacing w:beforeAutospacing="0" w:afterAutospacing="0"/>
              <w:jc w:val="center"/>
              <w:rPr>
                <w:rFonts w:ascii="Times New Roman" w:hAnsi="Times New Roman"/>
                <w:sz w:val="18"/>
                <w:szCs w:val="18"/>
              </w:rPr>
            </w:pPr>
            <w:r>
              <w:rPr>
                <w:rFonts w:ascii="Times New Roman" w:hAnsi="Times New Roman"/>
                <w:sz w:val="18"/>
                <w:szCs w:val="18"/>
              </w:rPr>
              <w:t>-0.0009</w:t>
            </w:r>
          </w:p>
          <w:p w14:paraId="10EDD722">
            <w:pPr>
              <w:pStyle w:val="8"/>
              <w:spacing w:beforeAutospacing="0" w:afterAutospacing="0"/>
              <w:jc w:val="center"/>
              <w:rPr>
                <w:rFonts w:ascii="Times New Roman" w:hAnsi="Times New Roman"/>
                <w:sz w:val="18"/>
                <w:szCs w:val="18"/>
              </w:rPr>
            </w:pPr>
            <w:r>
              <w:rPr>
                <w:rFonts w:ascii="Times New Roman" w:hAnsi="Times New Roman"/>
                <w:sz w:val="18"/>
                <w:szCs w:val="18"/>
              </w:rPr>
              <w:t>（-0.46）</w:t>
            </w:r>
          </w:p>
        </w:tc>
      </w:tr>
      <w:tr w14:paraId="5EFEF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3B9E0ADB">
            <w:pPr>
              <w:pStyle w:val="8"/>
              <w:spacing w:beforeAutospacing="0" w:afterAutospacing="0"/>
              <w:jc w:val="center"/>
              <w:rPr>
                <w:rFonts w:ascii="Cambria Math" w:hAnsi="Cambria Math"/>
                <w:sz w:val="18"/>
                <w:szCs w:val="18"/>
                <w:oMath/>
              </w:rPr>
            </w:pPr>
            <w:r>
              <w:rPr>
                <w:rFonts w:ascii="Times New Roman" w:hAnsi="Times New Roman"/>
                <w:sz w:val="18"/>
                <w:szCs w:val="18"/>
              </w:rPr>
              <w:t>fore</w:t>
            </w:r>
          </w:p>
        </w:tc>
        <w:tc>
          <w:tcPr>
            <w:tcW w:w="2292" w:type="dxa"/>
            <w:tcBorders>
              <w:top w:val="nil"/>
              <w:left w:val="nil"/>
              <w:bottom w:val="nil"/>
              <w:right w:val="nil"/>
            </w:tcBorders>
            <w:vAlign w:val="center"/>
          </w:tcPr>
          <w:p w14:paraId="2CD04346">
            <w:pPr>
              <w:pStyle w:val="8"/>
              <w:spacing w:beforeAutospacing="0" w:afterAutospacing="0"/>
              <w:jc w:val="center"/>
              <w:rPr>
                <w:rFonts w:ascii="Times New Roman" w:hAnsi="Times New Roman"/>
                <w:sz w:val="18"/>
                <w:szCs w:val="18"/>
              </w:rPr>
            </w:pPr>
            <w:r>
              <w:rPr>
                <w:rFonts w:ascii="Times New Roman" w:hAnsi="Times New Roman"/>
                <w:sz w:val="18"/>
                <w:szCs w:val="18"/>
              </w:rPr>
              <w:t>-0.0025***</w:t>
            </w:r>
          </w:p>
          <w:p w14:paraId="4014B669">
            <w:pPr>
              <w:pStyle w:val="8"/>
              <w:spacing w:beforeAutospacing="0" w:afterAutospacing="0"/>
              <w:jc w:val="center"/>
              <w:rPr>
                <w:rFonts w:ascii="Times New Roman" w:hAnsi="Times New Roman"/>
                <w:sz w:val="18"/>
                <w:szCs w:val="18"/>
              </w:rPr>
            </w:pPr>
            <w:r>
              <w:rPr>
                <w:rFonts w:ascii="Times New Roman" w:hAnsi="Times New Roman"/>
                <w:sz w:val="18"/>
                <w:szCs w:val="18"/>
              </w:rPr>
              <w:t>（-12.78）</w:t>
            </w:r>
          </w:p>
        </w:tc>
        <w:tc>
          <w:tcPr>
            <w:tcW w:w="2299" w:type="dxa"/>
            <w:tcBorders>
              <w:top w:val="nil"/>
              <w:left w:val="nil"/>
              <w:bottom w:val="nil"/>
              <w:right w:val="nil"/>
            </w:tcBorders>
            <w:vAlign w:val="center"/>
          </w:tcPr>
          <w:p w14:paraId="448AA342">
            <w:pPr>
              <w:pStyle w:val="8"/>
              <w:spacing w:beforeAutospacing="0" w:afterAutospacing="0"/>
              <w:jc w:val="center"/>
              <w:rPr>
                <w:rFonts w:ascii="Times New Roman" w:hAnsi="Times New Roman"/>
                <w:sz w:val="18"/>
                <w:szCs w:val="18"/>
              </w:rPr>
            </w:pPr>
            <w:r>
              <w:rPr>
                <w:rFonts w:ascii="Times New Roman" w:hAnsi="Times New Roman"/>
                <w:sz w:val="18"/>
                <w:szCs w:val="18"/>
              </w:rPr>
              <w:t>-0.0179**</w:t>
            </w:r>
          </w:p>
          <w:p w14:paraId="388AEBFC">
            <w:pPr>
              <w:pStyle w:val="8"/>
              <w:spacing w:beforeAutospacing="0" w:afterAutospacing="0"/>
              <w:jc w:val="center"/>
              <w:rPr>
                <w:rFonts w:ascii="Times New Roman" w:hAnsi="Times New Roman"/>
                <w:sz w:val="18"/>
                <w:szCs w:val="18"/>
              </w:rPr>
            </w:pPr>
            <w:r>
              <w:rPr>
                <w:rFonts w:ascii="Times New Roman" w:hAnsi="Times New Roman"/>
                <w:sz w:val="18"/>
                <w:szCs w:val="18"/>
              </w:rPr>
              <w:t>（-2.42）</w:t>
            </w:r>
          </w:p>
        </w:tc>
        <w:tc>
          <w:tcPr>
            <w:tcW w:w="1725" w:type="dxa"/>
            <w:tcBorders>
              <w:top w:val="nil"/>
              <w:left w:val="nil"/>
              <w:bottom w:val="nil"/>
              <w:right w:val="nil"/>
            </w:tcBorders>
            <w:vAlign w:val="center"/>
          </w:tcPr>
          <w:p w14:paraId="69537E2E">
            <w:pPr>
              <w:pStyle w:val="8"/>
              <w:spacing w:beforeAutospacing="0" w:afterAutospacing="0"/>
              <w:jc w:val="center"/>
              <w:rPr>
                <w:rFonts w:ascii="Times New Roman" w:hAnsi="Times New Roman"/>
                <w:sz w:val="18"/>
                <w:szCs w:val="18"/>
              </w:rPr>
            </w:pPr>
            <w:r>
              <w:rPr>
                <w:rFonts w:ascii="Times New Roman" w:hAnsi="Times New Roman"/>
                <w:sz w:val="18"/>
                <w:szCs w:val="18"/>
              </w:rPr>
              <w:t>-0.0020***</w:t>
            </w:r>
          </w:p>
          <w:p w14:paraId="5481CD1B">
            <w:pPr>
              <w:pStyle w:val="8"/>
              <w:spacing w:beforeAutospacing="0" w:afterAutospacing="0"/>
              <w:jc w:val="center"/>
              <w:rPr>
                <w:rFonts w:ascii="Times New Roman" w:hAnsi="Times New Roman"/>
                <w:sz w:val="18"/>
                <w:szCs w:val="18"/>
              </w:rPr>
            </w:pPr>
            <w:r>
              <w:rPr>
                <w:rFonts w:ascii="Times New Roman" w:hAnsi="Times New Roman"/>
                <w:sz w:val="18"/>
                <w:szCs w:val="18"/>
              </w:rPr>
              <w:t>（-3.60）</w:t>
            </w:r>
          </w:p>
        </w:tc>
      </w:tr>
      <w:tr w14:paraId="1D56E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44CD9772">
            <w:pPr>
              <w:pStyle w:val="8"/>
              <w:spacing w:beforeAutospacing="0" w:afterAutospacing="0"/>
              <w:jc w:val="center"/>
              <w:rPr>
                <w:rFonts w:ascii="Cambria Math" w:hAnsi="Cambria Math"/>
                <w:sz w:val="18"/>
                <w:szCs w:val="18"/>
                <w:oMath/>
              </w:rPr>
            </w:pPr>
            <w:r>
              <w:rPr>
                <w:rFonts w:ascii="Times New Roman" w:hAnsi="Times New Roman"/>
                <w:sz w:val="18"/>
                <w:szCs w:val="18"/>
              </w:rPr>
              <w:t>pub</w:t>
            </w:r>
          </w:p>
        </w:tc>
        <w:tc>
          <w:tcPr>
            <w:tcW w:w="2292" w:type="dxa"/>
            <w:tcBorders>
              <w:top w:val="nil"/>
              <w:left w:val="nil"/>
              <w:bottom w:val="nil"/>
              <w:right w:val="nil"/>
            </w:tcBorders>
            <w:vAlign w:val="center"/>
          </w:tcPr>
          <w:p w14:paraId="69B60482">
            <w:pPr>
              <w:pStyle w:val="8"/>
              <w:spacing w:beforeAutospacing="0" w:afterAutospacing="0"/>
              <w:jc w:val="center"/>
              <w:rPr>
                <w:rFonts w:ascii="Times New Roman" w:hAnsi="Times New Roman"/>
                <w:sz w:val="18"/>
                <w:szCs w:val="18"/>
              </w:rPr>
            </w:pPr>
            <w:r>
              <w:rPr>
                <w:rFonts w:ascii="Times New Roman" w:hAnsi="Times New Roman"/>
                <w:sz w:val="18"/>
                <w:szCs w:val="18"/>
              </w:rPr>
              <w:t>0.0485***</w:t>
            </w:r>
          </w:p>
          <w:p w14:paraId="682CCCE3">
            <w:pPr>
              <w:pStyle w:val="8"/>
              <w:spacing w:beforeAutospacing="0" w:afterAutospacing="0"/>
              <w:jc w:val="center"/>
              <w:rPr>
                <w:rFonts w:ascii="Times New Roman" w:hAnsi="Times New Roman"/>
                <w:sz w:val="18"/>
                <w:szCs w:val="18"/>
              </w:rPr>
            </w:pPr>
            <w:r>
              <w:rPr>
                <w:rFonts w:ascii="Times New Roman" w:hAnsi="Times New Roman"/>
                <w:sz w:val="18"/>
                <w:szCs w:val="18"/>
              </w:rPr>
              <w:t>（2.82）</w:t>
            </w:r>
          </w:p>
        </w:tc>
        <w:tc>
          <w:tcPr>
            <w:tcW w:w="2299" w:type="dxa"/>
            <w:tcBorders>
              <w:top w:val="nil"/>
              <w:left w:val="nil"/>
              <w:bottom w:val="nil"/>
              <w:right w:val="nil"/>
            </w:tcBorders>
            <w:vAlign w:val="center"/>
          </w:tcPr>
          <w:p w14:paraId="7F587ABD">
            <w:pPr>
              <w:pStyle w:val="8"/>
              <w:spacing w:beforeAutospacing="0" w:afterAutospacing="0"/>
              <w:jc w:val="center"/>
              <w:rPr>
                <w:rFonts w:ascii="Times New Roman" w:hAnsi="Times New Roman"/>
                <w:sz w:val="18"/>
                <w:szCs w:val="18"/>
              </w:rPr>
            </w:pPr>
            <w:r>
              <w:rPr>
                <w:rFonts w:ascii="Times New Roman" w:hAnsi="Times New Roman"/>
                <w:sz w:val="18"/>
                <w:szCs w:val="18"/>
              </w:rPr>
              <w:t>0.0131</w:t>
            </w:r>
          </w:p>
          <w:p w14:paraId="2C105E83">
            <w:pPr>
              <w:pStyle w:val="8"/>
              <w:spacing w:beforeAutospacing="0" w:afterAutospacing="0"/>
              <w:jc w:val="center"/>
              <w:rPr>
                <w:rFonts w:ascii="Times New Roman" w:hAnsi="Times New Roman"/>
                <w:sz w:val="18"/>
                <w:szCs w:val="18"/>
              </w:rPr>
            </w:pPr>
            <w:r>
              <w:rPr>
                <w:rFonts w:ascii="Times New Roman" w:hAnsi="Times New Roman"/>
                <w:sz w:val="18"/>
                <w:szCs w:val="18"/>
              </w:rPr>
              <w:t>（0.19）</w:t>
            </w:r>
          </w:p>
        </w:tc>
        <w:tc>
          <w:tcPr>
            <w:tcW w:w="1725" w:type="dxa"/>
            <w:tcBorders>
              <w:top w:val="nil"/>
              <w:left w:val="nil"/>
              <w:bottom w:val="nil"/>
              <w:right w:val="nil"/>
            </w:tcBorders>
            <w:vAlign w:val="center"/>
          </w:tcPr>
          <w:p w14:paraId="5DA66382">
            <w:pPr>
              <w:pStyle w:val="8"/>
              <w:spacing w:beforeAutospacing="0" w:afterAutospacing="0"/>
              <w:jc w:val="center"/>
              <w:rPr>
                <w:rFonts w:ascii="Times New Roman" w:hAnsi="Times New Roman"/>
                <w:sz w:val="18"/>
                <w:szCs w:val="18"/>
              </w:rPr>
            </w:pPr>
            <w:r>
              <w:rPr>
                <w:rFonts w:ascii="Times New Roman" w:hAnsi="Times New Roman"/>
                <w:sz w:val="18"/>
                <w:szCs w:val="18"/>
              </w:rPr>
              <w:t>0.0643***</w:t>
            </w:r>
          </w:p>
          <w:p w14:paraId="3006C65A">
            <w:pPr>
              <w:pStyle w:val="8"/>
              <w:spacing w:beforeAutospacing="0" w:afterAutospacing="0"/>
              <w:jc w:val="center"/>
              <w:rPr>
                <w:rFonts w:ascii="Times New Roman" w:hAnsi="Times New Roman"/>
                <w:sz w:val="18"/>
                <w:szCs w:val="18"/>
              </w:rPr>
            </w:pPr>
            <w:r>
              <w:rPr>
                <w:rFonts w:ascii="Times New Roman" w:hAnsi="Times New Roman"/>
                <w:sz w:val="18"/>
                <w:szCs w:val="18"/>
              </w:rPr>
              <w:t>（8.18）</w:t>
            </w:r>
          </w:p>
        </w:tc>
      </w:tr>
      <w:tr w14:paraId="48A40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603F5F7D">
            <w:pPr>
              <w:pStyle w:val="8"/>
              <w:spacing w:beforeAutospacing="0" w:afterAutospacing="0"/>
              <w:jc w:val="center"/>
              <w:rPr>
                <w:rFonts w:ascii="Cambria Math" w:hAnsi="Cambria Math"/>
                <w:sz w:val="18"/>
                <w:szCs w:val="18"/>
                <w:oMath/>
              </w:rPr>
            </w:pPr>
            <w:r>
              <w:rPr>
                <w:rFonts w:ascii="Times New Roman" w:hAnsi="Times New Roman"/>
                <w:sz w:val="18"/>
                <w:szCs w:val="18"/>
              </w:rPr>
              <w:t>sci</w:t>
            </w:r>
          </w:p>
        </w:tc>
        <w:tc>
          <w:tcPr>
            <w:tcW w:w="2292" w:type="dxa"/>
            <w:tcBorders>
              <w:top w:val="nil"/>
              <w:left w:val="nil"/>
              <w:bottom w:val="nil"/>
              <w:right w:val="nil"/>
            </w:tcBorders>
            <w:vAlign w:val="center"/>
          </w:tcPr>
          <w:p w14:paraId="0288C274">
            <w:pPr>
              <w:pStyle w:val="8"/>
              <w:spacing w:beforeAutospacing="0" w:afterAutospacing="0"/>
              <w:jc w:val="center"/>
              <w:rPr>
                <w:rFonts w:ascii="Times New Roman" w:hAnsi="Times New Roman"/>
                <w:sz w:val="18"/>
                <w:szCs w:val="18"/>
              </w:rPr>
            </w:pPr>
            <w:r>
              <w:rPr>
                <w:rFonts w:ascii="Times New Roman" w:hAnsi="Times New Roman"/>
                <w:sz w:val="18"/>
                <w:szCs w:val="18"/>
              </w:rPr>
              <w:t>-0.0361</w:t>
            </w:r>
          </w:p>
          <w:p w14:paraId="4D591B3C">
            <w:pPr>
              <w:pStyle w:val="8"/>
              <w:spacing w:beforeAutospacing="0" w:afterAutospacing="0"/>
              <w:jc w:val="center"/>
              <w:rPr>
                <w:rFonts w:ascii="Times New Roman" w:hAnsi="Times New Roman"/>
                <w:sz w:val="18"/>
                <w:szCs w:val="18"/>
              </w:rPr>
            </w:pPr>
            <w:r>
              <w:rPr>
                <w:rFonts w:ascii="Times New Roman" w:hAnsi="Times New Roman"/>
                <w:sz w:val="18"/>
                <w:szCs w:val="18"/>
              </w:rPr>
              <w:t>（-1.05）</w:t>
            </w:r>
          </w:p>
        </w:tc>
        <w:tc>
          <w:tcPr>
            <w:tcW w:w="2299" w:type="dxa"/>
            <w:tcBorders>
              <w:top w:val="nil"/>
              <w:left w:val="nil"/>
              <w:bottom w:val="nil"/>
              <w:right w:val="nil"/>
            </w:tcBorders>
            <w:vAlign w:val="center"/>
          </w:tcPr>
          <w:p w14:paraId="06509986">
            <w:pPr>
              <w:pStyle w:val="8"/>
              <w:spacing w:beforeAutospacing="0" w:afterAutospacing="0"/>
              <w:jc w:val="center"/>
              <w:rPr>
                <w:rFonts w:ascii="Times New Roman" w:hAnsi="Times New Roman"/>
                <w:sz w:val="18"/>
                <w:szCs w:val="18"/>
              </w:rPr>
            </w:pPr>
            <w:r>
              <w:rPr>
                <w:rFonts w:ascii="Times New Roman" w:hAnsi="Times New Roman"/>
                <w:sz w:val="18"/>
                <w:szCs w:val="18"/>
              </w:rPr>
              <w:t>0.2682</w:t>
            </w:r>
          </w:p>
          <w:p w14:paraId="2DD7E935">
            <w:pPr>
              <w:pStyle w:val="8"/>
              <w:spacing w:beforeAutospacing="0" w:afterAutospacing="0"/>
              <w:jc w:val="center"/>
              <w:rPr>
                <w:rFonts w:ascii="Times New Roman" w:hAnsi="Times New Roman"/>
                <w:sz w:val="18"/>
                <w:szCs w:val="18"/>
              </w:rPr>
            </w:pPr>
            <w:r>
              <w:rPr>
                <w:rFonts w:ascii="Times New Roman" w:hAnsi="Times New Roman"/>
                <w:sz w:val="18"/>
                <w:szCs w:val="18"/>
              </w:rPr>
              <w:t>（0.80）</w:t>
            </w:r>
          </w:p>
        </w:tc>
        <w:tc>
          <w:tcPr>
            <w:tcW w:w="1725" w:type="dxa"/>
            <w:tcBorders>
              <w:top w:val="nil"/>
              <w:left w:val="nil"/>
              <w:bottom w:val="nil"/>
              <w:right w:val="nil"/>
            </w:tcBorders>
            <w:vAlign w:val="center"/>
          </w:tcPr>
          <w:p w14:paraId="5610C17D">
            <w:pPr>
              <w:pStyle w:val="8"/>
              <w:spacing w:beforeAutospacing="0" w:afterAutospacing="0"/>
              <w:jc w:val="center"/>
              <w:rPr>
                <w:rFonts w:ascii="Times New Roman" w:hAnsi="Times New Roman"/>
                <w:sz w:val="18"/>
                <w:szCs w:val="18"/>
              </w:rPr>
            </w:pPr>
            <w:r>
              <w:rPr>
                <w:rFonts w:ascii="Times New Roman" w:hAnsi="Times New Roman"/>
                <w:sz w:val="18"/>
                <w:szCs w:val="18"/>
              </w:rPr>
              <w:t>-0.0009</w:t>
            </w:r>
          </w:p>
          <w:p w14:paraId="3E7E048E">
            <w:pPr>
              <w:pStyle w:val="8"/>
              <w:spacing w:beforeAutospacing="0" w:afterAutospacing="0"/>
              <w:jc w:val="center"/>
              <w:rPr>
                <w:rFonts w:ascii="Times New Roman" w:hAnsi="Times New Roman"/>
                <w:sz w:val="18"/>
                <w:szCs w:val="18"/>
              </w:rPr>
            </w:pPr>
            <w:r>
              <w:rPr>
                <w:rFonts w:ascii="Times New Roman" w:hAnsi="Times New Roman"/>
                <w:sz w:val="18"/>
                <w:szCs w:val="18"/>
              </w:rPr>
              <w:t>（-0.02）</w:t>
            </w:r>
          </w:p>
        </w:tc>
      </w:tr>
      <w:tr w14:paraId="31B3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542FB1D9">
            <w:pPr>
              <w:pStyle w:val="8"/>
              <w:spacing w:beforeAutospacing="0" w:afterAutospacing="0"/>
              <w:jc w:val="center"/>
              <w:rPr>
                <w:rFonts w:ascii="Cambria Math" w:hAnsi="Cambria Math"/>
                <w:sz w:val="18"/>
                <w:szCs w:val="18"/>
                <w:oMath/>
              </w:rPr>
            </w:pPr>
            <w:r>
              <w:rPr>
                <w:rFonts w:ascii="Times New Roman" w:hAnsi="Times New Roman"/>
                <w:sz w:val="18"/>
                <w:szCs w:val="18"/>
              </w:rPr>
              <w:t>edu</w:t>
            </w:r>
          </w:p>
        </w:tc>
        <w:tc>
          <w:tcPr>
            <w:tcW w:w="2292" w:type="dxa"/>
            <w:tcBorders>
              <w:top w:val="nil"/>
              <w:left w:val="nil"/>
              <w:bottom w:val="nil"/>
              <w:right w:val="nil"/>
            </w:tcBorders>
            <w:vAlign w:val="center"/>
          </w:tcPr>
          <w:p w14:paraId="7E0E2C8C">
            <w:pPr>
              <w:pStyle w:val="8"/>
              <w:spacing w:beforeAutospacing="0" w:afterAutospacing="0"/>
              <w:jc w:val="center"/>
              <w:rPr>
                <w:rFonts w:ascii="Times New Roman" w:hAnsi="Times New Roman"/>
                <w:sz w:val="18"/>
                <w:szCs w:val="18"/>
              </w:rPr>
            </w:pPr>
            <w:r>
              <w:rPr>
                <w:rFonts w:ascii="Times New Roman" w:hAnsi="Times New Roman"/>
                <w:sz w:val="18"/>
                <w:szCs w:val="18"/>
              </w:rPr>
              <w:t>-0.0361***</w:t>
            </w:r>
          </w:p>
          <w:p w14:paraId="3D2F9148">
            <w:pPr>
              <w:pStyle w:val="8"/>
              <w:spacing w:beforeAutospacing="0" w:afterAutospacing="0"/>
              <w:jc w:val="center"/>
              <w:rPr>
                <w:rFonts w:ascii="Times New Roman" w:hAnsi="Times New Roman"/>
                <w:sz w:val="18"/>
                <w:szCs w:val="18"/>
              </w:rPr>
            </w:pPr>
            <w:r>
              <w:rPr>
                <w:rFonts w:ascii="Times New Roman" w:hAnsi="Times New Roman"/>
                <w:sz w:val="18"/>
                <w:szCs w:val="18"/>
              </w:rPr>
              <w:t>（-3.47）</w:t>
            </w:r>
          </w:p>
        </w:tc>
        <w:tc>
          <w:tcPr>
            <w:tcW w:w="2299" w:type="dxa"/>
            <w:tcBorders>
              <w:top w:val="nil"/>
              <w:left w:val="nil"/>
              <w:bottom w:val="nil"/>
              <w:right w:val="nil"/>
            </w:tcBorders>
            <w:vAlign w:val="center"/>
          </w:tcPr>
          <w:p w14:paraId="1B3FAE5A">
            <w:pPr>
              <w:pStyle w:val="8"/>
              <w:spacing w:beforeAutospacing="0" w:afterAutospacing="0"/>
              <w:jc w:val="center"/>
              <w:rPr>
                <w:rFonts w:ascii="Times New Roman" w:hAnsi="Times New Roman"/>
                <w:sz w:val="18"/>
                <w:szCs w:val="18"/>
              </w:rPr>
            </w:pPr>
            <w:r>
              <w:rPr>
                <w:rFonts w:ascii="Times New Roman" w:hAnsi="Times New Roman"/>
                <w:sz w:val="18"/>
                <w:szCs w:val="18"/>
              </w:rPr>
              <w:t>0.0922</w:t>
            </w:r>
          </w:p>
          <w:p w14:paraId="3B386E1D">
            <w:pPr>
              <w:pStyle w:val="8"/>
              <w:spacing w:beforeAutospacing="0" w:afterAutospacing="0"/>
              <w:jc w:val="center"/>
              <w:rPr>
                <w:rFonts w:ascii="Times New Roman" w:hAnsi="Times New Roman"/>
                <w:sz w:val="18"/>
                <w:szCs w:val="18"/>
              </w:rPr>
            </w:pPr>
            <w:r>
              <w:rPr>
                <w:rFonts w:ascii="Times New Roman" w:hAnsi="Times New Roman"/>
                <w:sz w:val="18"/>
                <w:szCs w:val="18"/>
              </w:rPr>
              <w:t>（1.37）</w:t>
            </w:r>
          </w:p>
        </w:tc>
        <w:tc>
          <w:tcPr>
            <w:tcW w:w="1725" w:type="dxa"/>
            <w:tcBorders>
              <w:top w:val="nil"/>
              <w:left w:val="nil"/>
              <w:bottom w:val="nil"/>
              <w:right w:val="nil"/>
            </w:tcBorders>
            <w:vAlign w:val="center"/>
          </w:tcPr>
          <w:p w14:paraId="5729684E">
            <w:pPr>
              <w:pStyle w:val="8"/>
              <w:spacing w:beforeAutospacing="0" w:afterAutospacing="0"/>
              <w:jc w:val="center"/>
              <w:rPr>
                <w:rFonts w:ascii="Times New Roman" w:hAnsi="Times New Roman"/>
                <w:sz w:val="18"/>
                <w:szCs w:val="18"/>
              </w:rPr>
            </w:pPr>
            <w:r>
              <w:rPr>
                <w:rFonts w:ascii="Times New Roman" w:hAnsi="Times New Roman"/>
                <w:sz w:val="18"/>
                <w:szCs w:val="18"/>
              </w:rPr>
              <w:t>-0.0214***</w:t>
            </w:r>
          </w:p>
          <w:p w14:paraId="62E266F8">
            <w:pPr>
              <w:pStyle w:val="8"/>
              <w:spacing w:beforeAutospacing="0" w:afterAutospacing="0"/>
              <w:jc w:val="center"/>
              <w:rPr>
                <w:rFonts w:ascii="Times New Roman" w:hAnsi="Times New Roman"/>
                <w:sz w:val="18"/>
                <w:szCs w:val="18"/>
              </w:rPr>
            </w:pPr>
            <w:r>
              <w:rPr>
                <w:rFonts w:ascii="Times New Roman" w:hAnsi="Times New Roman"/>
                <w:sz w:val="18"/>
                <w:szCs w:val="18"/>
              </w:rPr>
              <w:t>（-5.89）</w:t>
            </w:r>
          </w:p>
        </w:tc>
      </w:tr>
      <w:tr w14:paraId="3FC2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096A1DB4">
            <w:pPr>
              <w:pStyle w:val="8"/>
              <w:spacing w:beforeAutospacing="0" w:afterAutospacing="0"/>
              <w:jc w:val="center"/>
              <w:rPr>
                <w:rFonts w:ascii="Times New Roman" w:hAnsi="Times New Roman"/>
                <w:sz w:val="18"/>
                <w:szCs w:val="18"/>
              </w:rPr>
            </w:pPr>
            <w:r>
              <w:rPr>
                <w:rFonts w:ascii="Times New Roman" w:hAnsi="Times New Roman"/>
                <w:sz w:val="18"/>
                <w:szCs w:val="18"/>
              </w:rPr>
              <w:t>aff</w:t>
            </w:r>
          </w:p>
        </w:tc>
        <w:tc>
          <w:tcPr>
            <w:tcW w:w="2292" w:type="dxa"/>
            <w:tcBorders>
              <w:top w:val="nil"/>
              <w:left w:val="nil"/>
              <w:bottom w:val="nil"/>
              <w:right w:val="nil"/>
            </w:tcBorders>
            <w:vAlign w:val="center"/>
          </w:tcPr>
          <w:p w14:paraId="624105A9">
            <w:pPr>
              <w:pStyle w:val="8"/>
              <w:spacing w:beforeAutospacing="0" w:afterAutospacing="0"/>
              <w:jc w:val="center"/>
              <w:rPr>
                <w:rFonts w:ascii="Times New Roman" w:hAnsi="Times New Roman"/>
                <w:sz w:val="18"/>
                <w:szCs w:val="18"/>
              </w:rPr>
            </w:pPr>
            <w:r>
              <w:rPr>
                <w:rFonts w:ascii="Times New Roman" w:hAnsi="Times New Roman"/>
                <w:sz w:val="18"/>
                <w:szCs w:val="18"/>
              </w:rPr>
              <w:t>-0.0087</w:t>
            </w:r>
          </w:p>
          <w:p w14:paraId="023FE5CF">
            <w:pPr>
              <w:pStyle w:val="8"/>
              <w:spacing w:beforeAutospacing="0" w:afterAutospacing="0"/>
              <w:jc w:val="center"/>
              <w:rPr>
                <w:rFonts w:ascii="Times New Roman" w:hAnsi="Times New Roman"/>
                <w:sz w:val="18"/>
                <w:szCs w:val="18"/>
              </w:rPr>
            </w:pPr>
            <w:r>
              <w:rPr>
                <w:rFonts w:ascii="Times New Roman" w:hAnsi="Times New Roman"/>
                <w:sz w:val="18"/>
                <w:szCs w:val="18"/>
              </w:rPr>
              <w:t>（-0.54）</w:t>
            </w:r>
          </w:p>
        </w:tc>
        <w:tc>
          <w:tcPr>
            <w:tcW w:w="2299" w:type="dxa"/>
            <w:tcBorders>
              <w:top w:val="nil"/>
              <w:left w:val="nil"/>
              <w:bottom w:val="nil"/>
              <w:right w:val="nil"/>
            </w:tcBorders>
            <w:vAlign w:val="center"/>
          </w:tcPr>
          <w:p w14:paraId="523A5874">
            <w:pPr>
              <w:pStyle w:val="8"/>
              <w:spacing w:beforeAutospacing="0" w:afterAutospacing="0"/>
              <w:jc w:val="center"/>
              <w:rPr>
                <w:rFonts w:ascii="Times New Roman" w:hAnsi="Times New Roman"/>
                <w:sz w:val="18"/>
                <w:szCs w:val="18"/>
              </w:rPr>
            </w:pPr>
            <w:r>
              <w:rPr>
                <w:rFonts w:ascii="Times New Roman" w:hAnsi="Times New Roman"/>
                <w:sz w:val="18"/>
                <w:szCs w:val="18"/>
              </w:rPr>
              <w:t>-0.0232</w:t>
            </w:r>
          </w:p>
          <w:p w14:paraId="60207D17">
            <w:pPr>
              <w:pStyle w:val="8"/>
              <w:spacing w:beforeAutospacing="0" w:afterAutospacing="0"/>
              <w:jc w:val="center"/>
              <w:rPr>
                <w:rFonts w:ascii="Times New Roman" w:hAnsi="Times New Roman"/>
                <w:sz w:val="18"/>
                <w:szCs w:val="18"/>
              </w:rPr>
            </w:pPr>
            <w:r>
              <w:rPr>
                <w:rFonts w:ascii="Times New Roman" w:hAnsi="Times New Roman"/>
                <w:sz w:val="18"/>
                <w:szCs w:val="18"/>
              </w:rPr>
              <w:t>（-0.24）</w:t>
            </w:r>
          </w:p>
        </w:tc>
        <w:tc>
          <w:tcPr>
            <w:tcW w:w="1725" w:type="dxa"/>
            <w:tcBorders>
              <w:top w:val="nil"/>
              <w:left w:val="nil"/>
              <w:bottom w:val="nil"/>
              <w:right w:val="nil"/>
            </w:tcBorders>
            <w:vAlign w:val="center"/>
          </w:tcPr>
          <w:p w14:paraId="07A996E6">
            <w:pPr>
              <w:pStyle w:val="8"/>
              <w:spacing w:beforeAutospacing="0" w:afterAutospacing="0"/>
              <w:jc w:val="center"/>
              <w:rPr>
                <w:rFonts w:ascii="Times New Roman" w:hAnsi="Times New Roman"/>
                <w:sz w:val="18"/>
                <w:szCs w:val="18"/>
              </w:rPr>
            </w:pPr>
            <w:r>
              <w:rPr>
                <w:rFonts w:ascii="Times New Roman" w:hAnsi="Times New Roman"/>
                <w:sz w:val="18"/>
                <w:szCs w:val="18"/>
              </w:rPr>
              <w:t>0.0002</w:t>
            </w:r>
          </w:p>
          <w:p w14:paraId="3A8F4C45">
            <w:pPr>
              <w:pStyle w:val="8"/>
              <w:spacing w:beforeAutospacing="0" w:afterAutospacing="0"/>
              <w:jc w:val="center"/>
              <w:rPr>
                <w:rFonts w:ascii="Times New Roman" w:hAnsi="Times New Roman"/>
                <w:sz w:val="18"/>
                <w:szCs w:val="18"/>
              </w:rPr>
            </w:pPr>
            <w:r>
              <w:rPr>
                <w:rFonts w:ascii="Times New Roman" w:hAnsi="Times New Roman"/>
                <w:sz w:val="18"/>
                <w:szCs w:val="18"/>
              </w:rPr>
              <w:t>（0.03）</w:t>
            </w:r>
          </w:p>
        </w:tc>
      </w:tr>
      <w:tr w14:paraId="175E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6021B929">
            <w:pPr>
              <w:pStyle w:val="8"/>
              <w:spacing w:beforeAutospacing="0" w:afterAutospacing="0"/>
              <w:jc w:val="center"/>
              <w:rPr>
                <w:rFonts w:ascii="Times New Roman" w:hAnsi="Times New Roman"/>
                <w:sz w:val="18"/>
                <w:szCs w:val="18"/>
              </w:rPr>
            </w:pPr>
            <w:r>
              <w:rPr>
                <w:rFonts w:ascii="Times New Roman" w:hAnsi="Times New Roman"/>
                <w:sz w:val="18"/>
                <w:szCs w:val="18"/>
              </w:rPr>
              <w:t>road</w:t>
            </w:r>
          </w:p>
        </w:tc>
        <w:tc>
          <w:tcPr>
            <w:tcW w:w="2292" w:type="dxa"/>
            <w:tcBorders>
              <w:top w:val="nil"/>
              <w:left w:val="nil"/>
              <w:bottom w:val="nil"/>
              <w:right w:val="nil"/>
            </w:tcBorders>
            <w:vAlign w:val="center"/>
          </w:tcPr>
          <w:p w14:paraId="27B2B76A">
            <w:pPr>
              <w:pStyle w:val="8"/>
              <w:spacing w:beforeAutospacing="0" w:afterAutospacing="0"/>
              <w:jc w:val="center"/>
              <w:rPr>
                <w:rFonts w:ascii="Times New Roman" w:hAnsi="Times New Roman"/>
                <w:sz w:val="18"/>
                <w:szCs w:val="18"/>
              </w:rPr>
            </w:pPr>
            <w:r>
              <w:rPr>
                <w:rFonts w:ascii="Times New Roman" w:hAnsi="Times New Roman"/>
                <w:sz w:val="18"/>
                <w:szCs w:val="18"/>
              </w:rPr>
              <w:t>-0.0029</w:t>
            </w:r>
          </w:p>
          <w:p w14:paraId="74DEB43A">
            <w:pPr>
              <w:pStyle w:val="8"/>
              <w:spacing w:beforeAutospacing="0" w:afterAutospacing="0"/>
              <w:jc w:val="center"/>
              <w:rPr>
                <w:rFonts w:ascii="Times New Roman" w:hAnsi="Times New Roman"/>
                <w:sz w:val="18"/>
                <w:szCs w:val="18"/>
              </w:rPr>
            </w:pPr>
            <w:r>
              <w:rPr>
                <w:rFonts w:ascii="Times New Roman" w:hAnsi="Times New Roman"/>
                <w:sz w:val="18"/>
                <w:szCs w:val="18"/>
              </w:rPr>
              <w:t>（-0.84）</w:t>
            </w:r>
          </w:p>
        </w:tc>
        <w:tc>
          <w:tcPr>
            <w:tcW w:w="2299" w:type="dxa"/>
            <w:tcBorders>
              <w:top w:val="nil"/>
              <w:left w:val="nil"/>
              <w:bottom w:val="nil"/>
              <w:right w:val="nil"/>
            </w:tcBorders>
            <w:vAlign w:val="center"/>
          </w:tcPr>
          <w:p w14:paraId="566FC308">
            <w:pPr>
              <w:pStyle w:val="8"/>
              <w:spacing w:beforeAutospacing="0" w:afterAutospacing="0"/>
              <w:jc w:val="center"/>
              <w:rPr>
                <w:rFonts w:ascii="Times New Roman" w:hAnsi="Times New Roman"/>
                <w:sz w:val="18"/>
                <w:szCs w:val="18"/>
              </w:rPr>
            </w:pPr>
            <w:r>
              <w:rPr>
                <w:rFonts w:ascii="Times New Roman" w:hAnsi="Times New Roman"/>
                <w:sz w:val="18"/>
                <w:szCs w:val="18"/>
              </w:rPr>
              <w:t>0.0352</w:t>
            </w:r>
          </w:p>
          <w:p w14:paraId="14366E2D">
            <w:pPr>
              <w:pStyle w:val="8"/>
              <w:spacing w:beforeAutospacing="0" w:afterAutospacing="0"/>
              <w:jc w:val="center"/>
              <w:rPr>
                <w:rFonts w:ascii="Times New Roman" w:hAnsi="Times New Roman"/>
                <w:sz w:val="18"/>
                <w:szCs w:val="18"/>
              </w:rPr>
            </w:pPr>
            <w:r>
              <w:rPr>
                <w:rFonts w:ascii="Times New Roman" w:hAnsi="Times New Roman"/>
                <w:sz w:val="18"/>
                <w:szCs w:val="18"/>
              </w:rPr>
              <w:t>（1.06）</w:t>
            </w:r>
          </w:p>
        </w:tc>
        <w:tc>
          <w:tcPr>
            <w:tcW w:w="1725" w:type="dxa"/>
            <w:tcBorders>
              <w:top w:val="nil"/>
              <w:left w:val="nil"/>
              <w:bottom w:val="nil"/>
              <w:right w:val="nil"/>
            </w:tcBorders>
            <w:vAlign w:val="center"/>
          </w:tcPr>
          <w:p w14:paraId="263E4C63">
            <w:pPr>
              <w:pStyle w:val="8"/>
              <w:spacing w:beforeAutospacing="0" w:afterAutospacing="0"/>
              <w:jc w:val="center"/>
              <w:rPr>
                <w:rFonts w:ascii="Times New Roman" w:hAnsi="Times New Roman"/>
                <w:sz w:val="18"/>
                <w:szCs w:val="18"/>
              </w:rPr>
            </w:pPr>
            <w:r>
              <w:rPr>
                <w:rFonts w:ascii="Times New Roman" w:hAnsi="Times New Roman"/>
                <w:sz w:val="18"/>
                <w:szCs w:val="18"/>
              </w:rPr>
              <w:t>-0.0054***</w:t>
            </w:r>
          </w:p>
          <w:p w14:paraId="188971FB">
            <w:pPr>
              <w:pStyle w:val="8"/>
              <w:spacing w:beforeAutospacing="0" w:afterAutospacing="0"/>
              <w:jc w:val="center"/>
              <w:rPr>
                <w:rFonts w:ascii="Times New Roman" w:hAnsi="Times New Roman"/>
                <w:sz w:val="18"/>
                <w:szCs w:val="18"/>
              </w:rPr>
            </w:pPr>
            <w:r>
              <w:rPr>
                <w:rFonts w:ascii="Times New Roman" w:hAnsi="Times New Roman"/>
                <w:sz w:val="18"/>
                <w:szCs w:val="18"/>
              </w:rPr>
              <w:t>（-3.61）</w:t>
            </w:r>
          </w:p>
        </w:tc>
      </w:tr>
      <w:tr w14:paraId="5A3F0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533" w:type="dxa"/>
            <w:tcBorders>
              <w:top w:val="nil"/>
              <w:left w:val="nil"/>
              <w:bottom w:val="nil"/>
              <w:right w:val="nil"/>
            </w:tcBorders>
            <w:vAlign w:val="center"/>
          </w:tcPr>
          <w:p w14:paraId="333833D9">
            <w:pPr>
              <w:pStyle w:val="8"/>
              <w:spacing w:beforeAutospacing="0" w:afterAutospacing="0"/>
              <w:jc w:val="center"/>
              <w:rPr>
                <w:rFonts w:ascii="Times New Roman" w:hAnsi="Times New Roman"/>
                <w:sz w:val="18"/>
                <w:szCs w:val="18"/>
              </w:rPr>
            </w:pPr>
            <w:r>
              <w:rPr>
                <w:rFonts w:ascii="Times New Roman" w:hAnsi="Times New Roman"/>
                <w:sz w:val="18"/>
                <w:szCs w:val="18"/>
              </w:rPr>
              <w:t>_cons</w:t>
            </w:r>
          </w:p>
        </w:tc>
        <w:tc>
          <w:tcPr>
            <w:tcW w:w="2292" w:type="dxa"/>
            <w:tcBorders>
              <w:top w:val="nil"/>
              <w:left w:val="nil"/>
              <w:bottom w:val="nil"/>
              <w:right w:val="nil"/>
            </w:tcBorders>
            <w:vAlign w:val="center"/>
          </w:tcPr>
          <w:p w14:paraId="4A642EB7">
            <w:pPr>
              <w:pStyle w:val="8"/>
              <w:spacing w:beforeAutospacing="0" w:afterAutospacing="0"/>
              <w:jc w:val="center"/>
              <w:rPr>
                <w:rFonts w:ascii="Times New Roman" w:hAnsi="Times New Roman"/>
                <w:sz w:val="18"/>
                <w:szCs w:val="18"/>
              </w:rPr>
            </w:pPr>
            <w:r>
              <w:rPr>
                <w:rFonts w:ascii="Times New Roman" w:hAnsi="Times New Roman"/>
                <w:sz w:val="18"/>
                <w:szCs w:val="18"/>
              </w:rPr>
              <w:t>-0.7108***</w:t>
            </w:r>
          </w:p>
          <w:p w14:paraId="4158F194">
            <w:pPr>
              <w:pStyle w:val="8"/>
              <w:spacing w:beforeAutospacing="0" w:afterAutospacing="0"/>
              <w:jc w:val="center"/>
              <w:rPr>
                <w:rFonts w:ascii="Times New Roman" w:hAnsi="Times New Roman"/>
                <w:sz w:val="18"/>
                <w:szCs w:val="18"/>
              </w:rPr>
            </w:pPr>
            <w:r>
              <w:rPr>
                <w:rFonts w:ascii="Times New Roman" w:hAnsi="Times New Roman"/>
                <w:sz w:val="18"/>
                <w:szCs w:val="18"/>
              </w:rPr>
              <w:t>（-14.07）</w:t>
            </w:r>
          </w:p>
        </w:tc>
        <w:tc>
          <w:tcPr>
            <w:tcW w:w="2299" w:type="dxa"/>
            <w:tcBorders>
              <w:top w:val="nil"/>
              <w:left w:val="nil"/>
              <w:bottom w:val="nil"/>
              <w:right w:val="nil"/>
            </w:tcBorders>
            <w:vAlign w:val="center"/>
          </w:tcPr>
          <w:p w14:paraId="1D9709E7">
            <w:pPr>
              <w:pStyle w:val="8"/>
              <w:spacing w:beforeAutospacing="0" w:afterAutospacing="0"/>
              <w:jc w:val="center"/>
              <w:rPr>
                <w:rFonts w:ascii="Times New Roman" w:hAnsi="Times New Roman"/>
                <w:sz w:val="18"/>
                <w:szCs w:val="18"/>
              </w:rPr>
            </w:pPr>
            <w:r>
              <w:rPr>
                <w:rFonts w:ascii="Times New Roman" w:hAnsi="Times New Roman"/>
                <w:sz w:val="18"/>
                <w:szCs w:val="18"/>
              </w:rPr>
              <w:t>0.2652</w:t>
            </w:r>
          </w:p>
          <w:p w14:paraId="3E83A8BA">
            <w:pPr>
              <w:pStyle w:val="8"/>
              <w:spacing w:beforeAutospacing="0" w:afterAutospacing="0"/>
              <w:jc w:val="center"/>
              <w:rPr>
                <w:rFonts w:ascii="Times New Roman" w:hAnsi="Times New Roman"/>
                <w:sz w:val="18"/>
                <w:szCs w:val="18"/>
              </w:rPr>
            </w:pPr>
            <w:r>
              <w:rPr>
                <w:rFonts w:ascii="Times New Roman" w:hAnsi="Times New Roman"/>
                <w:sz w:val="18"/>
                <w:szCs w:val="18"/>
              </w:rPr>
              <w:t>（0.60）</w:t>
            </w:r>
          </w:p>
        </w:tc>
        <w:tc>
          <w:tcPr>
            <w:tcW w:w="1725" w:type="dxa"/>
            <w:tcBorders>
              <w:top w:val="nil"/>
              <w:left w:val="nil"/>
              <w:bottom w:val="nil"/>
              <w:right w:val="nil"/>
            </w:tcBorders>
            <w:vAlign w:val="center"/>
          </w:tcPr>
          <w:p w14:paraId="15A6066D">
            <w:pPr>
              <w:pStyle w:val="8"/>
              <w:spacing w:beforeAutospacing="0" w:afterAutospacing="0"/>
              <w:jc w:val="center"/>
              <w:rPr>
                <w:rFonts w:ascii="Times New Roman" w:hAnsi="Times New Roman"/>
                <w:sz w:val="18"/>
                <w:szCs w:val="18"/>
              </w:rPr>
            </w:pPr>
            <w:r>
              <w:rPr>
                <w:rFonts w:ascii="Times New Roman" w:hAnsi="Times New Roman"/>
                <w:sz w:val="18"/>
                <w:szCs w:val="18"/>
              </w:rPr>
              <w:t>-0.8009***</w:t>
            </w:r>
          </w:p>
          <w:p w14:paraId="4F01CC9A">
            <w:pPr>
              <w:pStyle w:val="8"/>
              <w:spacing w:beforeAutospacing="0" w:afterAutospacing="0"/>
              <w:jc w:val="center"/>
              <w:rPr>
                <w:rFonts w:ascii="Times New Roman" w:hAnsi="Times New Roman"/>
                <w:sz w:val="18"/>
                <w:szCs w:val="18"/>
              </w:rPr>
            </w:pPr>
            <w:r>
              <w:rPr>
                <w:rFonts w:ascii="Times New Roman" w:hAnsi="Times New Roman"/>
                <w:sz w:val="18"/>
                <w:szCs w:val="18"/>
              </w:rPr>
              <w:t>（-29.53）</w:t>
            </w:r>
          </w:p>
        </w:tc>
      </w:tr>
      <w:tr w14:paraId="25873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533" w:type="dxa"/>
            <w:tcBorders>
              <w:top w:val="nil"/>
              <w:left w:val="nil"/>
              <w:bottom w:val="nil"/>
              <w:right w:val="nil"/>
            </w:tcBorders>
            <w:vAlign w:val="center"/>
          </w:tcPr>
          <w:p w14:paraId="199871AE">
            <w:pPr>
              <w:pStyle w:val="8"/>
              <w:spacing w:beforeAutospacing="0" w:afterAutospacing="0"/>
              <w:jc w:val="center"/>
              <w:rPr>
                <w:rFonts w:ascii="Times New Roman" w:hAnsi="Times New Roman"/>
                <w:sz w:val="18"/>
                <w:szCs w:val="18"/>
              </w:rPr>
            </w:pPr>
            <w:r>
              <w:rPr>
                <w:rFonts w:ascii="Times New Roman" w:hAnsi="Times New Roman"/>
                <w:sz w:val="18"/>
                <w:szCs w:val="18"/>
                <w:lang w:bidi="ar"/>
              </w:rPr>
              <w:t>个体固定</w:t>
            </w:r>
          </w:p>
        </w:tc>
        <w:tc>
          <w:tcPr>
            <w:tcW w:w="2292" w:type="dxa"/>
            <w:tcBorders>
              <w:top w:val="nil"/>
              <w:left w:val="nil"/>
              <w:bottom w:val="nil"/>
              <w:right w:val="nil"/>
            </w:tcBorders>
            <w:vAlign w:val="center"/>
          </w:tcPr>
          <w:p w14:paraId="2E2A159D">
            <w:pPr>
              <w:pStyle w:val="8"/>
              <w:spacing w:beforeAutospacing="0" w:afterAutospacing="0"/>
              <w:jc w:val="center"/>
              <w:rPr>
                <w:rFonts w:ascii="Times New Roman" w:hAnsi="Times New Roman"/>
                <w:sz w:val="18"/>
                <w:szCs w:val="18"/>
              </w:rPr>
            </w:pPr>
            <w:r>
              <w:rPr>
                <w:rFonts w:ascii="Times New Roman" w:hAnsi="Times New Roman"/>
                <w:sz w:val="18"/>
                <w:szCs w:val="18"/>
                <w:lang w:bidi="ar"/>
              </w:rPr>
              <w:t>是</w:t>
            </w:r>
          </w:p>
        </w:tc>
        <w:tc>
          <w:tcPr>
            <w:tcW w:w="2299" w:type="dxa"/>
            <w:tcBorders>
              <w:top w:val="nil"/>
              <w:left w:val="nil"/>
              <w:bottom w:val="nil"/>
              <w:right w:val="nil"/>
            </w:tcBorders>
            <w:vAlign w:val="center"/>
          </w:tcPr>
          <w:p w14:paraId="700C0C54">
            <w:pPr>
              <w:pStyle w:val="8"/>
              <w:spacing w:beforeAutospacing="0" w:afterAutospacing="0"/>
              <w:jc w:val="center"/>
              <w:rPr>
                <w:rFonts w:ascii="Times New Roman" w:hAnsi="Times New Roman"/>
                <w:sz w:val="18"/>
                <w:szCs w:val="18"/>
              </w:rPr>
            </w:pPr>
            <w:r>
              <w:rPr>
                <w:rFonts w:ascii="Times New Roman" w:hAnsi="Times New Roman"/>
                <w:sz w:val="18"/>
                <w:szCs w:val="18"/>
                <w:lang w:bidi="ar"/>
              </w:rPr>
              <w:t>是</w:t>
            </w:r>
          </w:p>
        </w:tc>
        <w:tc>
          <w:tcPr>
            <w:tcW w:w="1725" w:type="dxa"/>
            <w:tcBorders>
              <w:top w:val="nil"/>
              <w:left w:val="nil"/>
              <w:bottom w:val="nil"/>
              <w:right w:val="nil"/>
            </w:tcBorders>
            <w:vAlign w:val="center"/>
          </w:tcPr>
          <w:p w14:paraId="264B28CE">
            <w:pPr>
              <w:pStyle w:val="8"/>
              <w:spacing w:beforeAutospacing="0" w:afterAutospacing="0"/>
              <w:jc w:val="center"/>
              <w:rPr>
                <w:rFonts w:ascii="Times New Roman" w:hAnsi="Times New Roman"/>
                <w:sz w:val="18"/>
                <w:szCs w:val="18"/>
              </w:rPr>
            </w:pPr>
            <w:r>
              <w:rPr>
                <w:rFonts w:ascii="Times New Roman" w:hAnsi="Times New Roman"/>
                <w:sz w:val="18"/>
                <w:szCs w:val="18"/>
                <w:lang w:bidi="ar"/>
              </w:rPr>
              <w:t>是</w:t>
            </w:r>
          </w:p>
        </w:tc>
      </w:tr>
      <w:tr w14:paraId="1AB38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533" w:type="dxa"/>
            <w:tcBorders>
              <w:top w:val="nil"/>
              <w:left w:val="nil"/>
              <w:bottom w:val="nil"/>
              <w:right w:val="nil"/>
            </w:tcBorders>
            <w:vAlign w:val="center"/>
          </w:tcPr>
          <w:p w14:paraId="53EB01ED">
            <w:pPr>
              <w:pStyle w:val="8"/>
              <w:spacing w:beforeAutospacing="0" w:afterAutospacing="0"/>
              <w:jc w:val="center"/>
              <w:rPr>
                <w:rFonts w:ascii="Times New Roman" w:hAnsi="Times New Roman"/>
                <w:sz w:val="18"/>
                <w:szCs w:val="18"/>
              </w:rPr>
            </w:pPr>
            <w:r>
              <w:rPr>
                <w:rFonts w:ascii="Times New Roman" w:hAnsi="Times New Roman"/>
                <w:sz w:val="18"/>
                <w:szCs w:val="18"/>
              </w:rPr>
              <w:t>N</w:t>
            </w:r>
          </w:p>
        </w:tc>
        <w:tc>
          <w:tcPr>
            <w:tcW w:w="2292" w:type="dxa"/>
            <w:tcBorders>
              <w:top w:val="nil"/>
              <w:left w:val="nil"/>
              <w:bottom w:val="nil"/>
              <w:right w:val="nil"/>
            </w:tcBorders>
            <w:vAlign w:val="center"/>
          </w:tcPr>
          <w:p w14:paraId="2A172B2C">
            <w:pPr>
              <w:pStyle w:val="8"/>
              <w:spacing w:beforeAutospacing="0" w:afterAutospacing="0"/>
              <w:jc w:val="center"/>
              <w:rPr>
                <w:rFonts w:ascii="Times New Roman" w:hAnsi="Times New Roman"/>
                <w:sz w:val="18"/>
                <w:szCs w:val="18"/>
              </w:rPr>
            </w:pPr>
            <w:r>
              <w:rPr>
                <w:rFonts w:ascii="Times New Roman" w:hAnsi="Times New Roman"/>
                <w:sz w:val="18"/>
                <w:szCs w:val="18"/>
              </w:rPr>
              <w:t>360</w:t>
            </w:r>
          </w:p>
        </w:tc>
        <w:tc>
          <w:tcPr>
            <w:tcW w:w="2299" w:type="dxa"/>
            <w:tcBorders>
              <w:top w:val="nil"/>
              <w:left w:val="nil"/>
              <w:bottom w:val="nil"/>
              <w:right w:val="nil"/>
            </w:tcBorders>
            <w:vAlign w:val="center"/>
          </w:tcPr>
          <w:p w14:paraId="2D0E1BAC">
            <w:pPr>
              <w:pStyle w:val="8"/>
              <w:spacing w:beforeAutospacing="0" w:afterAutospacing="0"/>
              <w:jc w:val="center"/>
              <w:rPr>
                <w:rFonts w:ascii="Times New Roman" w:hAnsi="Times New Roman"/>
                <w:sz w:val="18"/>
                <w:szCs w:val="18"/>
              </w:rPr>
            </w:pPr>
            <w:r>
              <w:rPr>
                <w:rFonts w:ascii="Times New Roman" w:hAnsi="Times New Roman"/>
                <w:sz w:val="18"/>
                <w:szCs w:val="18"/>
              </w:rPr>
              <w:t>330</w:t>
            </w:r>
          </w:p>
        </w:tc>
        <w:tc>
          <w:tcPr>
            <w:tcW w:w="1725" w:type="dxa"/>
            <w:tcBorders>
              <w:top w:val="nil"/>
              <w:left w:val="nil"/>
              <w:bottom w:val="nil"/>
              <w:right w:val="nil"/>
            </w:tcBorders>
            <w:vAlign w:val="center"/>
          </w:tcPr>
          <w:p w14:paraId="6C50DFD7">
            <w:pPr>
              <w:pStyle w:val="8"/>
              <w:spacing w:beforeAutospacing="0" w:afterAutospacing="0"/>
              <w:jc w:val="center"/>
              <w:rPr>
                <w:rFonts w:ascii="Times New Roman" w:hAnsi="Times New Roman"/>
                <w:sz w:val="18"/>
                <w:szCs w:val="18"/>
              </w:rPr>
            </w:pPr>
            <w:r>
              <w:rPr>
                <w:rFonts w:ascii="Times New Roman" w:hAnsi="Times New Roman"/>
                <w:sz w:val="18"/>
                <w:szCs w:val="18"/>
              </w:rPr>
              <w:t>330</w:t>
            </w:r>
          </w:p>
        </w:tc>
      </w:tr>
      <w:tr w14:paraId="08B82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533" w:type="dxa"/>
            <w:tcBorders>
              <w:top w:val="nil"/>
              <w:left w:val="nil"/>
              <w:bottom w:val="nil"/>
              <w:right w:val="nil"/>
            </w:tcBorders>
            <w:vAlign w:val="center"/>
          </w:tcPr>
          <w:p w14:paraId="177B5577">
            <w:pPr>
              <w:pStyle w:val="8"/>
              <w:spacing w:beforeAutospacing="0" w:afterAutospacing="0"/>
              <w:jc w:val="center"/>
              <w:rPr>
                <w:rFonts w:ascii="Times New Roman" w:hAnsi="Times New Roman"/>
                <w:sz w:val="18"/>
                <w:szCs w:val="18"/>
              </w:rPr>
            </w:pPr>
            <w:r>
              <w:rPr>
                <w:rFonts w:ascii="Times New Roman" w:hAnsi="Times New Roman"/>
                <w:sz w:val="18"/>
                <w:szCs w:val="18"/>
              </w:rPr>
              <w:t>R</w:t>
            </w:r>
            <w:r>
              <w:rPr>
                <w:rFonts w:ascii="Times New Roman" w:hAnsi="Times New Roman"/>
                <w:sz w:val="18"/>
                <w:szCs w:val="18"/>
                <w:vertAlign w:val="superscript"/>
              </w:rPr>
              <w:t>2</w:t>
            </w:r>
          </w:p>
        </w:tc>
        <w:tc>
          <w:tcPr>
            <w:tcW w:w="2292" w:type="dxa"/>
            <w:tcBorders>
              <w:top w:val="nil"/>
              <w:left w:val="nil"/>
              <w:bottom w:val="nil"/>
              <w:right w:val="nil"/>
            </w:tcBorders>
            <w:vAlign w:val="center"/>
          </w:tcPr>
          <w:p w14:paraId="11C0B023">
            <w:pPr>
              <w:pStyle w:val="8"/>
              <w:spacing w:beforeAutospacing="0" w:afterAutospacing="0"/>
              <w:jc w:val="center"/>
              <w:rPr>
                <w:rFonts w:ascii="Times New Roman" w:hAnsi="Times New Roman"/>
                <w:sz w:val="18"/>
                <w:szCs w:val="18"/>
              </w:rPr>
            </w:pPr>
            <w:r>
              <w:rPr>
                <w:rFonts w:ascii="Times New Roman" w:hAnsi="Times New Roman"/>
                <w:sz w:val="18"/>
                <w:szCs w:val="18"/>
              </w:rPr>
              <w:t>0.9921</w:t>
            </w:r>
          </w:p>
        </w:tc>
        <w:tc>
          <w:tcPr>
            <w:tcW w:w="2299" w:type="dxa"/>
            <w:tcBorders>
              <w:top w:val="nil"/>
              <w:left w:val="nil"/>
              <w:bottom w:val="nil"/>
              <w:right w:val="nil"/>
            </w:tcBorders>
            <w:vAlign w:val="center"/>
          </w:tcPr>
          <w:p w14:paraId="150B9342">
            <w:pPr>
              <w:pStyle w:val="8"/>
              <w:spacing w:beforeAutospacing="0" w:afterAutospacing="0"/>
              <w:jc w:val="center"/>
              <w:rPr>
                <w:rFonts w:ascii="Times New Roman" w:hAnsi="Times New Roman"/>
                <w:sz w:val="18"/>
                <w:szCs w:val="18"/>
              </w:rPr>
            </w:pPr>
            <w:r>
              <w:rPr>
                <w:rFonts w:ascii="Times New Roman" w:hAnsi="Times New Roman"/>
                <w:sz w:val="18"/>
                <w:szCs w:val="18"/>
              </w:rPr>
              <w:t>0.7127</w:t>
            </w:r>
          </w:p>
        </w:tc>
        <w:tc>
          <w:tcPr>
            <w:tcW w:w="1725" w:type="dxa"/>
            <w:tcBorders>
              <w:top w:val="nil"/>
              <w:left w:val="nil"/>
              <w:bottom w:val="nil"/>
              <w:right w:val="nil"/>
            </w:tcBorders>
            <w:vAlign w:val="center"/>
          </w:tcPr>
          <w:p w14:paraId="0D9E1AAC">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r>
      <w:tr w14:paraId="7D3A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533" w:type="dxa"/>
            <w:tcBorders>
              <w:top w:val="nil"/>
              <w:left w:val="nil"/>
              <w:bottom w:val="nil"/>
              <w:right w:val="nil"/>
            </w:tcBorders>
            <w:vAlign w:val="center"/>
          </w:tcPr>
          <w:p w14:paraId="517E6991">
            <w:pPr>
              <w:pStyle w:val="8"/>
              <w:spacing w:beforeAutospacing="0" w:afterAutospacing="0"/>
              <w:jc w:val="center"/>
              <w:rPr>
                <w:rFonts w:ascii="Times New Roman" w:hAnsi="Times New Roman"/>
                <w:sz w:val="18"/>
                <w:szCs w:val="18"/>
              </w:rPr>
            </w:pPr>
            <w:r>
              <w:rPr>
                <w:rFonts w:ascii="Times New Roman" w:hAnsi="Times New Roman"/>
                <w:sz w:val="18"/>
                <w:szCs w:val="18"/>
              </w:rPr>
              <w:t>AR（1）</w:t>
            </w:r>
          </w:p>
        </w:tc>
        <w:tc>
          <w:tcPr>
            <w:tcW w:w="2292" w:type="dxa"/>
            <w:tcBorders>
              <w:top w:val="nil"/>
              <w:left w:val="nil"/>
              <w:bottom w:val="nil"/>
              <w:right w:val="nil"/>
            </w:tcBorders>
            <w:vAlign w:val="center"/>
          </w:tcPr>
          <w:p w14:paraId="7A3F070C">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2299" w:type="dxa"/>
            <w:tcBorders>
              <w:top w:val="nil"/>
              <w:left w:val="nil"/>
              <w:bottom w:val="nil"/>
              <w:right w:val="nil"/>
            </w:tcBorders>
            <w:vAlign w:val="center"/>
          </w:tcPr>
          <w:p w14:paraId="5A4E7AD0">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1725" w:type="dxa"/>
            <w:tcBorders>
              <w:top w:val="nil"/>
              <w:left w:val="nil"/>
              <w:bottom w:val="nil"/>
              <w:right w:val="nil"/>
            </w:tcBorders>
            <w:vAlign w:val="center"/>
          </w:tcPr>
          <w:p w14:paraId="35D1599F">
            <w:pPr>
              <w:pStyle w:val="8"/>
              <w:spacing w:beforeAutospacing="0" w:afterAutospacing="0"/>
              <w:jc w:val="center"/>
              <w:rPr>
                <w:rFonts w:ascii="Times New Roman" w:hAnsi="Times New Roman"/>
                <w:sz w:val="18"/>
                <w:szCs w:val="18"/>
              </w:rPr>
            </w:pPr>
            <w:r>
              <w:rPr>
                <w:rFonts w:ascii="Times New Roman" w:hAnsi="Times New Roman"/>
                <w:sz w:val="18"/>
                <w:szCs w:val="18"/>
              </w:rPr>
              <w:t>0.0024</w:t>
            </w:r>
          </w:p>
        </w:tc>
      </w:tr>
      <w:tr w14:paraId="53B78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533" w:type="dxa"/>
            <w:tcBorders>
              <w:top w:val="nil"/>
              <w:left w:val="nil"/>
              <w:bottom w:val="nil"/>
              <w:right w:val="nil"/>
            </w:tcBorders>
            <w:vAlign w:val="center"/>
          </w:tcPr>
          <w:p w14:paraId="7717FE7C">
            <w:pPr>
              <w:pStyle w:val="8"/>
              <w:spacing w:beforeAutospacing="0" w:afterAutospacing="0"/>
              <w:jc w:val="center"/>
              <w:rPr>
                <w:rFonts w:ascii="Times New Roman" w:hAnsi="Times New Roman"/>
                <w:sz w:val="18"/>
                <w:szCs w:val="18"/>
              </w:rPr>
            </w:pPr>
            <w:r>
              <w:rPr>
                <w:rFonts w:ascii="Times New Roman" w:hAnsi="Times New Roman"/>
                <w:sz w:val="18"/>
                <w:szCs w:val="18"/>
              </w:rPr>
              <w:t>AR（2）</w:t>
            </w:r>
          </w:p>
        </w:tc>
        <w:tc>
          <w:tcPr>
            <w:tcW w:w="2292" w:type="dxa"/>
            <w:tcBorders>
              <w:top w:val="nil"/>
              <w:left w:val="nil"/>
              <w:bottom w:val="nil"/>
              <w:right w:val="nil"/>
            </w:tcBorders>
            <w:vAlign w:val="center"/>
          </w:tcPr>
          <w:p w14:paraId="4B584CCE">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2299" w:type="dxa"/>
            <w:tcBorders>
              <w:top w:val="nil"/>
              <w:left w:val="nil"/>
              <w:bottom w:val="nil"/>
              <w:right w:val="nil"/>
            </w:tcBorders>
            <w:vAlign w:val="center"/>
          </w:tcPr>
          <w:p w14:paraId="086CBFDC">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1725" w:type="dxa"/>
            <w:tcBorders>
              <w:top w:val="nil"/>
              <w:left w:val="nil"/>
              <w:bottom w:val="nil"/>
              <w:right w:val="nil"/>
            </w:tcBorders>
            <w:vAlign w:val="center"/>
          </w:tcPr>
          <w:p w14:paraId="3F948A66">
            <w:pPr>
              <w:pStyle w:val="8"/>
              <w:spacing w:beforeAutospacing="0" w:afterAutospacing="0"/>
              <w:jc w:val="center"/>
              <w:rPr>
                <w:rFonts w:ascii="Times New Roman" w:hAnsi="Times New Roman"/>
                <w:sz w:val="18"/>
                <w:szCs w:val="18"/>
              </w:rPr>
            </w:pPr>
            <w:r>
              <w:rPr>
                <w:rFonts w:ascii="Times New Roman" w:hAnsi="Times New Roman"/>
                <w:sz w:val="18"/>
                <w:szCs w:val="18"/>
              </w:rPr>
              <w:t>0.1347</w:t>
            </w:r>
          </w:p>
        </w:tc>
      </w:tr>
      <w:tr w14:paraId="22ECA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533" w:type="dxa"/>
            <w:tcBorders>
              <w:top w:val="nil"/>
              <w:left w:val="nil"/>
              <w:right w:val="nil"/>
            </w:tcBorders>
            <w:vAlign w:val="center"/>
          </w:tcPr>
          <w:p w14:paraId="4AAA042E">
            <w:pPr>
              <w:pStyle w:val="8"/>
              <w:spacing w:beforeAutospacing="0" w:afterAutospacing="0"/>
              <w:jc w:val="center"/>
              <w:rPr>
                <w:rFonts w:ascii="Times New Roman" w:hAnsi="Times New Roman"/>
                <w:sz w:val="18"/>
                <w:szCs w:val="18"/>
              </w:rPr>
            </w:pPr>
            <w:r>
              <w:rPr>
                <w:rFonts w:ascii="Times New Roman" w:hAnsi="Times New Roman"/>
                <w:sz w:val="18"/>
                <w:szCs w:val="18"/>
              </w:rPr>
              <w:t>Sargan检验</w:t>
            </w:r>
          </w:p>
        </w:tc>
        <w:tc>
          <w:tcPr>
            <w:tcW w:w="2292" w:type="dxa"/>
            <w:tcBorders>
              <w:top w:val="nil"/>
              <w:left w:val="nil"/>
              <w:right w:val="nil"/>
            </w:tcBorders>
            <w:vAlign w:val="center"/>
          </w:tcPr>
          <w:p w14:paraId="1D2D1B79">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2299" w:type="dxa"/>
            <w:tcBorders>
              <w:top w:val="nil"/>
              <w:left w:val="nil"/>
              <w:right w:val="nil"/>
            </w:tcBorders>
            <w:vAlign w:val="center"/>
          </w:tcPr>
          <w:p w14:paraId="0A982DD5">
            <w:pPr>
              <w:pStyle w:val="8"/>
              <w:spacing w:beforeAutospacing="0" w:afterAutospacing="0"/>
              <w:jc w:val="center"/>
              <w:rPr>
                <w:rFonts w:ascii="Times New Roman" w:hAnsi="Times New Roman"/>
                <w:sz w:val="18"/>
                <w:szCs w:val="18"/>
              </w:rPr>
            </w:pPr>
            <w:r>
              <w:rPr>
                <w:rFonts w:ascii="Times New Roman" w:hAnsi="Times New Roman"/>
                <w:sz w:val="18"/>
                <w:szCs w:val="18"/>
                <w:lang w:bidi="ar"/>
              </w:rPr>
              <w:t>—</w:t>
            </w:r>
          </w:p>
        </w:tc>
        <w:tc>
          <w:tcPr>
            <w:tcW w:w="1725" w:type="dxa"/>
            <w:tcBorders>
              <w:top w:val="nil"/>
              <w:left w:val="nil"/>
              <w:right w:val="nil"/>
            </w:tcBorders>
            <w:vAlign w:val="center"/>
          </w:tcPr>
          <w:p w14:paraId="2B5AFDB0">
            <w:pPr>
              <w:pStyle w:val="8"/>
              <w:spacing w:beforeAutospacing="0" w:afterAutospacing="0"/>
              <w:jc w:val="center"/>
              <w:rPr>
                <w:rFonts w:ascii="Times New Roman" w:hAnsi="Times New Roman"/>
                <w:sz w:val="18"/>
                <w:szCs w:val="18"/>
              </w:rPr>
            </w:pPr>
            <w:r>
              <w:rPr>
                <w:rFonts w:ascii="Times New Roman" w:hAnsi="Times New Roman"/>
                <w:sz w:val="18"/>
                <w:szCs w:val="18"/>
              </w:rPr>
              <w:t>1.0000</w:t>
            </w:r>
          </w:p>
        </w:tc>
      </w:tr>
    </w:tbl>
    <w:p w14:paraId="5F1F7C1E">
      <w:pPr>
        <w:pStyle w:val="8"/>
        <w:spacing w:beforeAutospacing="0" w:afterAutospacing="0"/>
        <w:ind w:firstLine="361" w:firstLineChars="200"/>
        <w:rPr>
          <w:rFonts w:ascii="Times New Roman" w:hAnsi="Times New Roman"/>
          <w:b/>
          <w:bCs/>
          <w:sz w:val="18"/>
          <w:szCs w:val="18"/>
        </w:rPr>
      </w:pPr>
      <w:r>
        <w:rPr>
          <w:rFonts w:ascii="Times New Roman" w:hAnsi="Times New Roman"/>
          <w:b/>
          <w:bCs/>
          <w:sz w:val="18"/>
          <w:szCs w:val="18"/>
        </w:rPr>
        <w:t>注：括号中为t统计值；*、**、***分别表示显著性水平为10%，5%和1%；AR</w:t>
      </w:r>
      <w:r>
        <w:rPr>
          <w:rFonts w:hint="eastAsia" w:ascii="Times New Roman" w:hAnsi="Times New Roman"/>
          <w:b/>
          <w:bCs/>
          <w:sz w:val="18"/>
          <w:szCs w:val="18"/>
        </w:rPr>
        <w:t>（</w:t>
      </w:r>
      <w:r>
        <w:rPr>
          <w:rFonts w:ascii="Times New Roman" w:hAnsi="Times New Roman"/>
          <w:b/>
          <w:bCs/>
          <w:sz w:val="18"/>
          <w:szCs w:val="18"/>
        </w:rPr>
        <w:t>1）、AR（2）和Sargan检验分别提供检验的P值；L1.代表变量的滞后一期。</w:t>
      </w:r>
    </w:p>
    <w:p w14:paraId="67D22EA9">
      <w:pPr>
        <w:spacing w:line="300" w:lineRule="auto"/>
        <w:ind w:firstLine="420" w:firstLineChars="200"/>
        <w:rPr>
          <w:rFonts w:ascii="Times New Roman" w:hAnsi="Times New Roman" w:cs="Times New Roman"/>
        </w:rPr>
      </w:pPr>
      <w:r>
        <w:rPr>
          <w:rFonts w:hint="eastAsia" w:ascii="Times New Roman" w:hAnsi="Times New Roman" w:cs="Times New Roman"/>
        </w:rPr>
        <w:t>由表</w:t>
      </w:r>
      <w:r>
        <w:rPr>
          <w:rFonts w:ascii="Times New Roman" w:hAnsi="Times New Roman" w:cs="Times New Roman"/>
        </w:rPr>
        <w:t>3</w:t>
      </w:r>
      <w:r>
        <w:rPr>
          <w:rFonts w:hint="eastAsia" w:ascii="Times New Roman" w:hAnsi="Times New Roman" w:cs="Times New Roman"/>
        </w:rPr>
        <w:t>回归</w:t>
      </w:r>
      <w:r>
        <w:rPr>
          <w:rFonts w:ascii="Times New Roman" w:hAnsi="Times New Roman" w:cs="Times New Roman"/>
        </w:rPr>
        <w:t>（1）</w:t>
      </w:r>
      <w:r>
        <w:rPr>
          <w:rFonts w:hint="eastAsia" w:ascii="Times New Roman" w:hAnsi="Times New Roman" w:cs="Times New Roman"/>
        </w:rPr>
        <w:t>估计结果分析控制变量对被解释变量的影响，可以发现：经济发展水平、产业结构和一般公共服务支出对二元经济结构优化的影响显著为正，这与现有大部分文献研究结论类似</w:t>
      </w:r>
      <w:r>
        <w:rPr>
          <w:rFonts w:ascii="Times New Roman" w:hAnsi="Times New Roman" w:cs="Times New Roman"/>
          <w:vertAlign w:val="superscript"/>
        </w:rPr>
        <w:t>[2</w:t>
      </w:r>
      <w:r>
        <w:rPr>
          <w:rFonts w:hint="eastAsia" w:ascii="Times New Roman" w:hAnsi="Times New Roman" w:cs="Times New Roman"/>
          <w:vertAlign w:val="superscript"/>
          <w:lang w:val="en-US" w:eastAsia="zh-CN"/>
        </w:rPr>
        <w:t>1</w:t>
      </w:r>
      <w:r>
        <w:rPr>
          <w:rFonts w:ascii="Times New Roman" w:hAnsi="Times New Roman" w:cs="Times New Roman"/>
          <w:vertAlign w:val="superscript"/>
        </w:rPr>
        <w:t>]</w:t>
      </w:r>
      <w:r>
        <w:rPr>
          <w:rFonts w:hint="eastAsia" w:ascii="Times New Roman" w:hAnsi="Times New Roman" w:cs="Times New Roman"/>
        </w:rPr>
        <w:t>；人口规模、对外开放水平和教育支出对二元经济结构优化的影响显著为负；科学技术支出、农林水事务支出和基础设施水平对二元经济结构的影响不显著。对结果显著的控制变量</w:t>
      </w:r>
      <w:r>
        <w:rPr>
          <w:rFonts w:hint="eastAsia" w:ascii="Times New Roman" w:hAnsi="Times New Roman" w:cs="Times New Roman"/>
          <w:lang w:val="en-US" w:eastAsia="zh-CN"/>
        </w:rPr>
        <w:t>作出</w:t>
      </w:r>
      <w:r>
        <w:rPr>
          <w:rFonts w:hint="eastAsia" w:ascii="Times New Roman" w:hAnsi="Times New Roman" w:cs="Times New Roman"/>
        </w:rPr>
        <w:t>以下解释：经济发展水平高的地区，无论是农业的机械化发展，还是第二三产业形成的规模效应都显著优于经济发展水平低的地区；随着信息化时代的发展进步，第二三产业成为吸纳劳动力的主要产业，尤其是现代服务业</w:t>
      </w:r>
      <w:r>
        <w:rPr>
          <w:rFonts w:ascii="Times New Roman" w:hAnsi="Times New Roman" w:cs="Times New Roman"/>
          <w:vertAlign w:val="superscript"/>
        </w:rPr>
        <w:t>[</w:t>
      </w:r>
      <w:r>
        <w:rPr>
          <w:rFonts w:hint="eastAsia" w:ascii="Times New Roman" w:hAnsi="Times New Roman" w:cs="Times New Roman"/>
          <w:vertAlign w:val="superscript"/>
          <w:lang w:val="en-US" w:eastAsia="zh-CN"/>
        </w:rPr>
        <w:t>22</w:t>
      </w:r>
      <w:r>
        <w:rPr>
          <w:rFonts w:ascii="Times New Roman" w:hAnsi="Times New Roman" w:cs="Times New Roman"/>
          <w:vertAlign w:val="superscript"/>
        </w:rPr>
        <w:t>]</w:t>
      </w:r>
      <w:r>
        <w:rPr>
          <w:rFonts w:hint="eastAsia" w:ascii="Times New Roman" w:hAnsi="Times New Roman" w:cs="Times New Roman"/>
        </w:rPr>
        <w:t>，第二三产业发展迅速的地区如我国的东部沿海地区，对农业剩余劳动力的吸纳作用更明显，二元经济结构优化效果也更明显；由于现阶段中国的公共服务支出仍旧存在一定程度的城市偏向，城市公共服务水平高，而农村公共服务水平落后，城乡之间公共服务水平差距较大，隐形地增加了城市居民的收入，吸引农业劳动力流入，从而有利于二元经济结构的消解；人口规模越大的地区，二元经济结构越明显，可能是因为人口大省一般农村人口较多，由于教育水平不高或工作能力不足等原因在农村从事农业生产的人口占比也较高，二元经济结构较为明显；当前中国的外商投资通常会选择中国经济发展水平较高地区的大城市，推动与贸易相关的制造业、金融业和服务业的发展，促进城市第二三产业发展，而对农业产值的影响较少，虽然对外开放水平提高可以增加转移劳动力的就业，一定程度上有利于缩小城乡差距，但目前这种作用机制还不明显，随着对外开放程度的不断深化，城乡二元经济结构越明显，该结论与现有文献结论类似</w:t>
      </w:r>
      <w:r>
        <w:rPr>
          <w:rFonts w:ascii="Times New Roman" w:hAnsi="Times New Roman" w:cs="Times New Roman"/>
          <w:vertAlign w:val="superscript"/>
        </w:rPr>
        <w:t>[2</w:t>
      </w:r>
      <w:r>
        <w:rPr>
          <w:rFonts w:hint="eastAsia" w:ascii="Times New Roman" w:hAnsi="Times New Roman" w:cs="Times New Roman"/>
          <w:vertAlign w:val="superscript"/>
          <w:lang w:val="en-US" w:eastAsia="zh-CN"/>
        </w:rPr>
        <w:t>3</w:t>
      </w:r>
      <w:r>
        <w:rPr>
          <w:rFonts w:ascii="Times New Roman" w:hAnsi="Times New Roman" w:cs="Times New Roman"/>
          <w:vertAlign w:val="superscript"/>
        </w:rPr>
        <w:t>]</w:t>
      </w:r>
      <w:r>
        <w:rPr>
          <w:rFonts w:hint="eastAsia" w:ascii="Times New Roman" w:hAnsi="Times New Roman" w:cs="Times New Roman"/>
        </w:rPr>
        <w:t>；与陆铭和陈钊的研究结论类似</w:t>
      </w:r>
      <w:r>
        <w:rPr>
          <w:rFonts w:ascii="Times New Roman" w:hAnsi="Times New Roman" w:cs="Times New Roman"/>
          <w:vertAlign w:val="superscript"/>
        </w:rPr>
        <w:t>[</w:t>
      </w:r>
      <w:r>
        <w:rPr>
          <w:rFonts w:hint="eastAsia" w:ascii="Times New Roman" w:hAnsi="Times New Roman" w:cs="Times New Roman"/>
          <w:vertAlign w:val="superscript"/>
          <w:lang w:val="en-US" w:eastAsia="zh-CN"/>
        </w:rPr>
        <w:t>24</w:t>
      </w:r>
      <w:r>
        <w:rPr>
          <w:rFonts w:ascii="Times New Roman" w:hAnsi="Times New Roman" w:cs="Times New Roman"/>
          <w:vertAlign w:val="superscript"/>
        </w:rPr>
        <w:t>]</w:t>
      </w:r>
      <w:r>
        <w:rPr>
          <w:rFonts w:hint="eastAsia" w:ascii="Times New Roman" w:hAnsi="Times New Roman" w:cs="Times New Roman"/>
        </w:rPr>
        <w:t>，当前我们的教育财政支出不利于城乡一体化发展，城乡教育发展水平不均是中国教育发展的一个显著特点，城市偏向的教育支出使得城市教育资源丰富，师资力量雄厚，而农民工子女却因户籍制度及升学制度的限制而无法平等地享受城市教育资源，阻碍了劳动力转移，不利于二元经济结构优化。</w:t>
      </w:r>
    </w:p>
    <w:p w14:paraId="37568586">
      <w:pPr>
        <w:spacing w:line="300" w:lineRule="auto"/>
        <w:ind w:firstLine="422" w:firstLineChars="200"/>
        <w:rPr>
          <w:b/>
          <w:bCs/>
        </w:rPr>
      </w:pPr>
      <w:r>
        <w:rPr>
          <w:rFonts w:hint="eastAsia"/>
          <w:b/>
          <w:bCs/>
        </w:rPr>
        <w:t>（二）中介效应检验</w:t>
      </w:r>
    </w:p>
    <w:p w14:paraId="168500C4">
      <w:pPr>
        <w:spacing w:line="300" w:lineRule="auto"/>
        <w:ind w:firstLine="420" w:firstLineChars="200"/>
        <w:rPr>
          <w:rFonts w:ascii="Times New Roman" w:hAnsi="Times New Roman" w:cs="Times New Roman"/>
        </w:rPr>
      </w:pPr>
      <w:r>
        <w:rPr>
          <w:rFonts w:hint="eastAsia" w:ascii="Times New Roman" w:hAnsi="Times New Roman" w:cs="Times New Roman"/>
        </w:rPr>
        <w:t>为了检验劳动力转移是否在农业现代化对二元经济结构的影响中发挥中介作用，由前文的中介效应模型进行估计的结果见表4。回归（4）表明农业现代化能显著促进二元经济结构优化，回归</w:t>
      </w:r>
      <w:r>
        <w:rPr>
          <w:rFonts w:ascii="Times New Roman" w:hAnsi="Times New Roman" w:cs="Times New Roman"/>
        </w:rPr>
        <w:t>（5）</w:t>
      </w:r>
      <w:r>
        <w:rPr>
          <w:rFonts w:hint="eastAsia" w:ascii="Times New Roman" w:hAnsi="Times New Roman" w:cs="Times New Roman"/>
        </w:rPr>
        <w:t>表明农业现代化同样可以显著促进劳动力转移，以上结果验证了前文的假说H1。回归（6）中农业现代化和劳动力转移的回归系数显著为正，这表明在控制了农业现代化变量的影响后，劳动力转移对二元经济结构的优化作用仍然显著。由于三个估计系数b、c、d均显著，且cd与b</w:t>
      </w:r>
      <w:r>
        <w:rPr>
          <w:rFonts w:ascii="Times New Roman" w:hAnsi="Times New Roman" w:cs="Times New Roman"/>
        </w:rPr>
        <w:t>'</w:t>
      </w:r>
      <w:r>
        <w:rPr>
          <w:rFonts w:hint="eastAsia" w:ascii="Times New Roman" w:hAnsi="Times New Roman" w:cs="Times New Roman"/>
        </w:rPr>
        <w:t>同号，说明劳动力转移在其中存在中介效应，且因b</w:t>
      </w:r>
      <w:r>
        <w:rPr>
          <w:rFonts w:ascii="Times New Roman" w:hAnsi="Times New Roman" w:cs="Times New Roman"/>
        </w:rPr>
        <w:t>'</w:t>
      </w:r>
      <w:r>
        <w:rPr>
          <w:rFonts w:hint="eastAsia" w:ascii="Times New Roman" w:hAnsi="Times New Roman" w:cs="Times New Roman"/>
        </w:rPr>
        <w:t>系数也显著，所以该中介效应为“部分”中介效应。这在某种程度上说明，农业现代化对二元经济结构的消解作用有一部分是通过劳动力转移实现的，从而假说H3得到验证。</w:t>
      </w:r>
    </w:p>
    <w:p w14:paraId="2BF6E338">
      <w:pPr>
        <w:spacing w:line="300" w:lineRule="auto"/>
        <w:jc w:val="center"/>
        <w:rPr>
          <w:rFonts w:ascii="Times New Roman" w:hAnsi="Times New Roman" w:cs="Times New Roman"/>
          <w:szCs w:val="21"/>
        </w:rPr>
      </w:pPr>
      <w:r>
        <w:rPr>
          <w:rFonts w:ascii="Times New Roman" w:hAnsi="Times New Roman" w:cs="Times New Roman"/>
          <w:b/>
          <w:bCs/>
          <w:kern w:val="0"/>
          <w:sz w:val="18"/>
          <w:szCs w:val="18"/>
        </w:rPr>
        <w:t>表4  劳动力转移对农业现代化的中介效应检验</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4"/>
        <w:gridCol w:w="2298"/>
        <w:gridCol w:w="2298"/>
        <w:gridCol w:w="2299"/>
      </w:tblGrid>
      <w:tr w14:paraId="47E01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4" w:type="dxa"/>
            <w:vMerge w:val="restart"/>
            <w:tcBorders>
              <w:top w:val="single" w:color="auto" w:sz="4" w:space="0"/>
              <w:left w:val="nil"/>
              <w:right w:val="nil"/>
            </w:tcBorders>
            <w:vAlign w:val="center"/>
          </w:tcPr>
          <w:p w14:paraId="671108A0">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变量</w:t>
            </w:r>
          </w:p>
        </w:tc>
        <w:tc>
          <w:tcPr>
            <w:tcW w:w="2298" w:type="dxa"/>
            <w:tcBorders>
              <w:top w:val="single" w:color="auto" w:sz="4" w:space="0"/>
              <w:left w:val="nil"/>
              <w:bottom w:val="single" w:color="auto" w:sz="4" w:space="0"/>
              <w:right w:val="nil"/>
            </w:tcBorders>
            <w:vAlign w:val="center"/>
          </w:tcPr>
          <w:p w14:paraId="511B8AB2">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（4）</w:t>
            </w:r>
          </w:p>
        </w:tc>
        <w:tc>
          <w:tcPr>
            <w:tcW w:w="2298" w:type="dxa"/>
            <w:tcBorders>
              <w:top w:val="single" w:color="auto" w:sz="4" w:space="0"/>
              <w:left w:val="nil"/>
              <w:bottom w:val="single" w:color="auto" w:sz="4" w:space="0"/>
              <w:right w:val="nil"/>
            </w:tcBorders>
            <w:vAlign w:val="center"/>
          </w:tcPr>
          <w:p w14:paraId="28BD821B">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（5）</w:t>
            </w:r>
          </w:p>
        </w:tc>
        <w:tc>
          <w:tcPr>
            <w:tcW w:w="2299" w:type="dxa"/>
            <w:tcBorders>
              <w:top w:val="single" w:color="auto" w:sz="4" w:space="0"/>
              <w:left w:val="nil"/>
              <w:bottom w:val="single" w:color="auto" w:sz="4" w:space="0"/>
              <w:right w:val="nil"/>
            </w:tcBorders>
            <w:vAlign w:val="center"/>
          </w:tcPr>
          <w:p w14:paraId="697A8DF7">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（6）</w:t>
            </w:r>
          </w:p>
        </w:tc>
      </w:tr>
      <w:tr w14:paraId="458E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444" w:type="dxa"/>
            <w:vMerge w:val="continue"/>
            <w:tcBorders>
              <w:left w:val="nil"/>
              <w:bottom w:val="single" w:color="auto" w:sz="4" w:space="0"/>
              <w:right w:val="nil"/>
            </w:tcBorders>
            <w:vAlign w:val="center"/>
          </w:tcPr>
          <w:p w14:paraId="1DD357AF">
            <w:pPr>
              <w:jc w:val="center"/>
              <w:rPr>
                <w:rFonts w:ascii="Times New Roman" w:hAnsi="Times New Roman" w:eastAsia="宋体" w:cs="Times New Roman"/>
                <w:sz w:val="18"/>
                <w:szCs w:val="18"/>
              </w:rPr>
            </w:pPr>
          </w:p>
        </w:tc>
        <w:tc>
          <w:tcPr>
            <w:tcW w:w="2298" w:type="dxa"/>
            <w:tcBorders>
              <w:top w:val="single" w:color="auto" w:sz="4" w:space="0"/>
              <w:left w:val="nil"/>
              <w:bottom w:val="single" w:color="auto" w:sz="4" w:space="0"/>
              <w:right w:val="nil"/>
            </w:tcBorders>
            <w:vAlign w:val="center"/>
          </w:tcPr>
          <w:p w14:paraId="308D8436">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stru</w:t>
            </w:r>
          </w:p>
        </w:tc>
        <w:tc>
          <w:tcPr>
            <w:tcW w:w="2298" w:type="dxa"/>
            <w:tcBorders>
              <w:top w:val="single" w:color="auto" w:sz="4" w:space="0"/>
              <w:left w:val="nil"/>
              <w:bottom w:val="single" w:color="auto" w:sz="4" w:space="0"/>
              <w:right w:val="nil"/>
            </w:tcBorders>
            <w:vAlign w:val="center"/>
          </w:tcPr>
          <w:p w14:paraId="72F3085A">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tran</w:t>
            </w:r>
          </w:p>
        </w:tc>
        <w:tc>
          <w:tcPr>
            <w:tcW w:w="2299" w:type="dxa"/>
            <w:tcBorders>
              <w:top w:val="single" w:color="auto" w:sz="4" w:space="0"/>
              <w:left w:val="nil"/>
              <w:bottom w:val="single" w:color="auto" w:sz="4" w:space="0"/>
              <w:right w:val="nil"/>
            </w:tcBorders>
            <w:vAlign w:val="center"/>
          </w:tcPr>
          <w:p w14:paraId="6376CC28">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stru</w:t>
            </w:r>
          </w:p>
        </w:tc>
      </w:tr>
      <w:tr w14:paraId="5B603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44" w:type="dxa"/>
            <w:tcBorders>
              <w:top w:val="single" w:color="auto" w:sz="4" w:space="0"/>
              <w:left w:val="nil"/>
              <w:bottom w:val="nil"/>
              <w:right w:val="nil"/>
            </w:tcBorders>
            <w:vAlign w:val="center"/>
          </w:tcPr>
          <w:p w14:paraId="57725F91">
            <w:pPr>
              <w:jc w:val="center"/>
              <w:rPr>
                <w:rFonts w:ascii="Times New Roman" w:hAnsi="Times New Roman" w:eastAsia="宋体" w:cs="Times New Roman"/>
                <w:sz w:val="18"/>
                <w:szCs w:val="18"/>
              </w:rPr>
            </w:pPr>
            <w:r>
              <w:rPr>
                <w:rFonts w:ascii="Times New Roman" w:hAnsi="Times New Roman" w:eastAsia="宋体" w:cs="Times New Roman"/>
                <w:sz w:val="18"/>
                <w:szCs w:val="18"/>
              </w:rPr>
              <w:t>agr</w:t>
            </w:r>
          </w:p>
        </w:tc>
        <w:tc>
          <w:tcPr>
            <w:tcW w:w="2298" w:type="dxa"/>
            <w:tcBorders>
              <w:top w:val="single" w:color="auto" w:sz="4" w:space="0"/>
              <w:left w:val="nil"/>
              <w:bottom w:val="nil"/>
              <w:right w:val="nil"/>
            </w:tcBorders>
            <w:vAlign w:val="center"/>
          </w:tcPr>
          <w:p w14:paraId="1DA77790">
            <w:pPr>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 1.0810***</w:t>
            </w:r>
          </w:p>
          <w:p w14:paraId="71EA430E">
            <w:pPr>
              <w:jc w:val="center"/>
              <w:rPr>
                <w:rFonts w:ascii="Times New Roman" w:hAnsi="Times New Roman" w:eastAsia="宋体" w:cs="Times New Roman"/>
                <w:sz w:val="18"/>
                <w:szCs w:val="18"/>
              </w:rPr>
            </w:pPr>
            <w:r>
              <w:rPr>
                <w:rFonts w:ascii="Times New Roman" w:hAnsi="Times New Roman" w:eastAsia="宋体" w:cs="Times New Roman"/>
                <w:sz w:val="18"/>
                <w:szCs w:val="18"/>
              </w:rPr>
              <w:t>（73.06）</w:t>
            </w:r>
          </w:p>
        </w:tc>
        <w:tc>
          <w:tcPr>
            <w:tcW w:w="2298" w:type="dxa"/>
            <w:tcBorders>
              <w:top w:val="single" w:color="auto" w:sz="4" w:space="0"/>
              <w:left w:val="nil"/>
              <w:bottom w:val="nil"/>
              <w:right w:val="nil"/>
            </w:tcBorders>
            <w:vAlign w:val="center"/>
          </w:tcPr>
          <w:p w14:paraId="46C256C4">
            <w:pPr>
              <w:jc w:val="center"/>
              <w:rPr>
                <w:rFonts w:ascii="Times New Roman" w:hAnsi="Times New Roman" w:eastAsia="宋体" w:cs="Times New Roman"/>
                <w:sz w:val="18"/>
                <w:szCs w:val="18"/>
              </w:rPr>
            </w:pPr>
            <w:r>
              <w:rPr>
                <w:rFonts w:ascii="Times New Roman" w:hAnsi="Times New Roman" w:eastAsia="宋体" w:cs="Times New Roman"/>
                <w:sz w:val="18"/>
                <w:szCs w:val="18"/>
              </w:rPr>
              <w:t>5.1910**</w:t>
            </w:r>
          </w:p>
          <w:p w14:paraId="1BEB3013">
            <w:pPr>
              <w:jc w:val="center"/>
              <w:rPr>
                <w:rFonts w:ascii="Times New Roman" w:hAnsi="Times New Roman" w:eastAsia="宋体" w:cs="Times New Roman"/>
                <w:sz w:val="18"/>
                <w:szCs w:val="18"/>
              </w:rPr>
            </w:pPr>
            <w:r>
              <w:rPr>
                <w:rFonts w:ascii="Times New Roman" w:hAnsi="Times New Roman" w:eastAsia="宋体" w:cs="Times New Roman"/>
                <w:sz w:val="18"/>
                <w:szCs w:val="18"/>
              </w:rPr>
              <w:t>（2.50）</w:t>
            </w:r>
          </w:p>
        </w:tc>
        <w:tc>
          <w:tcPr>
            <w:tcW w:w="2299" w:type="dxa"/>
            <w:tcBorders>
              <w:top w:val="single" w:color="auto" w:sz="4" w:space="0"/>
              <w:left w:val="nil"/>
              <w:bottom w:val="nil"/>
              <w:right w:val="nil"/>
            </w:tcBorders>
            <w:vAlign w:val="center"/>
          </w:tcPr>
          <w:p w14:paraId="74D52AA0">
            <w:pPr>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 1.0774***</w:t>
            </w:r>
          </w:p>
          <w:p w14:paraId="726548B0">
            <w:pPr>
              <w:jc w:val="center"/>
              <w:rPr>
                <w:rFonts w:ascii="Times New Roman" w:hAnsi="Times New Roman" w:eastAsia="宋体" w:cs="Times New Roman"/>
                <w:sz w:val="18"/>
                <w:szCs w:val="18"/>
              </w:rPr>
            </w:pPr>
            <w:r>
              <w:rPr>
                <w:rFonts w:ascii="Times New Roman" w:hAnsi="Times New Roman" w:eastAsia="宋体" w:cs="Times New Roman"/>
                <w:sz w:val="18"/>
                <w:szCs w:val="18"/>
              </w:rPr>
              <w:t>（71.65）</w:t>
            </w:r>
          </w:p>
        </w:tc>
      </w:tr>
      <w:tr w14:paraId="4D9AF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444" w:type="dxa"/>
            <w:tcBorders>
              <w:top w:val="nil"/>
              <w:left w:val="nil"/>
              <w:bottom w:val="nil"/>
              <w:right w:val="nil"/>
            </w:tcBorders>
            <w:vAlign w:val="center"/>
          </w:tcPr>
          <w:p w14:paraId="4185DD65">
            <w:pPr>
              <w:jc w:val="center"/>
              <w:rPr>
                <w:rFonts w:ascii="Times New Roman" w:hAnsi="Times New Roman" w:eastAsia="宋体" w:cs="Times New Roman"/>
                <w:sz w:val="18"/>
                <w:szCs w:val="18"/>
              </w:rPr>
            </w:pPr>
            <w:r>
              <w:rPr>
                <w:rFonts w:ascii="Times New Roman" w:hAnsi="Times New Roman" w:eastAsia="宋体" w:cs="Times New Roman"/>
                <w:sz w:val="18"/>
                <w:szCs w:val="18"/>
              </w:rPr>
              <w:t>tran</w:t>
            </w:r>
          </w:p>
        </w:tc>
        <w:tc>
          <w:tcPr>
            <w:tcW w:w="2298" w:type="dxa"/>
            <w:tcBorders>
              <w:top w:val="nil"/>
              <w:left w:val="nil"/>
              <w:bottom w:val="nil"/>
              <w:right w:val="nil"/>
            </w:tcBorders>
            <w:vAlign w:val="center"/>
          </w:tcPr>
          <w:p w14:paraId="356BAA57">
            <w:pPr>
              <w:jc w:val="center"/>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2298" w:type="dxa"/>
            <w:tcBorders>
              <w:top w:val="nil"/>
              <w:left w:val="nil"/>
              <w:bottom w:val="nil"/>
              <w:right w:val="nil"/>
            </w:tcBorders>
            <w:vAlign w:val="center"/>
          </w:tcPr>
          <w:p w14:paraId="2835A8E2">
            <w:pPr>
              <w:jc w:val="center"/>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2299" w:type="dxa"/>
            <w:tcBorders>
              <w:top w:val="nil"/>
              <w:left w:val="nil"/>
              <w:bottom w:val="nil"/>
              <w:right w:val="nil"/>
            </w:tcBorders>
            <w:vAlign w:val="center"/>
          </w:tcPr>
          <w:p w14:paraId="01F71301">
            <w:pPr>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 0.0007***</w:t>
            </w:r>
          </w:p>
          <w:p w14:paraId="41FE1532">
            <w:pPr>
              <w:jc w:val="center"/>
              <w:rPr>
                <w:rFonts w:ascii="Times New Roman" w:hAnsi="Times New Roman" w:eastAsia="宋体" w:cs="Times New Roman"/>
                <w:sz w:val="18"/>
                <w:szCs w:val="18"/>
              </w:rPr>
            </w:pPr>
            <w:r>
              <w:rPr>
                <w:rFonts w:ascii="Times New Roman" w:hAnsi="Times New Roman" w:eastAsia="宋体" w:cs="Times New Roman"/>
                <w:sz w:val="18"/>
                <w:szCs w:val="18"/>
              </w:rPr>
              <w:t>（3.71）</w:t>
            </w:r>
          </w:p>
        </w:tc>
      </w:tr>
      <w:tr w14:paraId="26F9C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444" w:type="dxa"/>
            <w:tcBorders>
              <w:top w:val="nil"/>
              <w:left w:val="nil"/>
              <w:bottom w:val="nil"/>
              <w:right w:val="nil"/>
            </w:tcBorders>
            <w:vAlign w:val="center"/>
          </w:tcPr>
          <w:p w14:paraId="5E01F6BF">
            <w:pPr>
              <w:jc w:val="center"/>
              <w:rPr>
                <w:rFonts w:ascii="Times New Roman" w:hAnsi="Times New Roman" w:eastAsia="宋体" w:cs="Times New Roman"/>
                <w:sz w:val="18"/>
                <w:szCs w:val="18"/>
              </w:rPr>
            </w:pPr>
            <w:r>
              <w:rPr>
                <w:rFonts w:ascii="Times New Roman" w:hAnsi="Times New Roman" w:cs="Times New Roman"/>
                <w:sz w:val="18"/>
                <w:szCs w:val="18"/>
              </w:rPr>
              <w:t>_cons</w:t>
            </w:r>
          </w:p>
        </w:tc>
        <w:tc>
          <w:tcPr>
            <w:tcW w:w="2298" w:type="dxa"/>
            <w:tcBorders>
              <w:top w:val="nil"/>
              <w:left w:val="nil"/>
              <w:bottom w:val="nil"/>
              <w:right w:val="nil"/>
            </w:tcBorders>
            <w:vAlign w:val="center"/>
          </w:tcPr>
          <w:p w14:paraId="1C892183">
            <w:pPr>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 -0.7278***</w:t>
            </w:r>
          </w:p>
          <w:p w14:paraId="5D2CBFB3">
            <w:pPr>
              <w:jc w:val="center"/>
              <w:rPr>
                <w:rFonts w:ascii="Times New Roman" w:hAnsi="Times New Roman" w:eastAsia="宋体" w:cs="Times New Roman"/>
                <w:sz w:val="18"/>
                <w:szCs w:val="18"/>
              </w:rPr>
            </w:pPr>
            <w:r>
              <w:rPr>
                <w:rFonts w:ascii="Times New Roman" w:hAnsi="Times New Roman" w:eastAsia="宋体" w:cs="Times New Roman"/>
                <w:sz w:val="18"/>
                <w:szCs w:val="18"/>
              </w:rPr>
              <w:t>（-14.80）</w:t>
            </w:r>
          </w:p>
        </w:tc>
        <w:tc>
          <w:tcPr>
            <w:tcW w:w="2298" w:type="dxa"/>
            <w:tcBorders>
              <w:top w:val="nil"/>
              <w:left w:val="nil"/>
              <w:bottom w:val="nil"/>
              <w:right w:val="nil"/>
            </w:tcBorders>
            <w:vAlign w:val="center"/>
          </w:tcPr>
          <w:p w14:paraId="198A2620">
            <w:pPr>
              <w:jc w:val="center"/>
              <w:rPr>
                <w:rFonts w:ascii="Times New Roman" w:hAnsi="Times New Roman" w:eastAsia="宋体" w:cs="Times New Roman"/>
                <w:sz w:val="18"/>
                <w:szCs w:val="18"/>
              </w:rPr>
            </w:pPr>
            <w:r>
              <w:rPr>
                <w:rFonts w:ascii="Times New Roman" w:hAnsi="Times New Roman" w:eastAsia="宋体" w:cs="Times New Roman"/>
                <w:sz w:val="18"/>
                <w:szCs w:val="18"/>
              </w:rPr>
              <w:t>-24.4884</w:t>
            </w:r>
          </w:p>
          <w:p w14:paraId="38E592E5">
            <w:pPr>
              <w:jc w:val="center"/>
              <w:rPr>
                <w:rFonts w:ascii="Times New Roman" w:hAnsi="Times New Roman" w:eastAsia="宋体" w:cs="Times New Roman"/>
                <w:sz w:val="18"/>
                <w:szCs w:val="18"/>
              </w:rPr>
            </w:pPr>
            <w:r>
              <w:rPr>
                <w:rFonts w:ascii="Times New Roman" w:hAnsi="Times New Roman" w:eastAsia="宋体" w:cs="Times New Roman"/>
                <w:sz w:val="18"/>
                <w:szCs w:val="18"/>
              </w:rPr>
              <w:t>（-1.03）</w:t>
            </w:r>
          </w:p>
        </w:tc>
        <w:tc>
          <w:tcPr>
            <w:tcW w:w="2299" w:type="dxa"/>
            <w:tcBorders>
              <w:top w:val="nil"/>
              <w:left w:val="nil"/>
              <w:bottom w:val="nil"/>
              <w:right w:val="nil"/>
            </w:tcBorders>
            <w:vAlign w:val="center"/>
          </w:tcPr>
          <w:p w14:paraId="3871CD80">
            <w:pPr>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 -0.7108***</w:t>
            </w:r>
          </w:p>
          <w:p w14:paraId="693DA5AE">
            <w:pPr>
              <w:jc w:val="center"/>
              <w:rPr>
                <w:rFonts w:ascii="Times New Roman" w:hAnsi="Times New Roman" w:eastAsia="宋体" w:cs="Times New Roman"/>
                <w:sz w:val="18"/>
                <w:szCs w:val="18"/>
              </w:rPr>
            </w:pPr>
            <w:r>
              <w:rPr>
                <w:rFonts w:ascii="Times New Roman" w:hAnsi="Times New Roman" w:eastAsia="宋体" w:cs="Times New Roman"/>
                <w:sz w:val="18"/>
                <w:szCs w:val="18"/>
              </w:rPr>
              <w:t>（-14.07）</w:t>
            </w:r>
          </w:p>
        </w:tc>
      </w:tr>
      <w:tr w14:paraId="5BCF1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444" w:type="dxa"/>
            <w:tcBorders>
              <w:top w:val="nil"/>
              <w:left w:val="nil"/>
              <w:bottom w:val="nil"/>
              <w:right w:val="nil"/>
            </w:tcBorders>
            <w:vAlign w:val="center"/>
          </w:tcPr>
          <w:p w14:paraId="609DE1D3">
            <w:pPr>
              <w:jc w:val="center"/>
              <w:rPr>
                <w:rFonts w:ascii="Times New Roman" w:hAnsi="Times New Roman" w:eastAsia="宋体" w:cs="Times New Roman"/>
                <w:sz w:val="18"/>
                <w:szCs w:val="18"/>
              </w:rPr>
            </w:pPr>
            <w:r>
              <w:rPr>
                <w:rFonts w:ascii="Times New Roman" w:hAnsi="Times New Roman" w:eastAsia="宋体" w:cs="Times New Roman"/>
                <w:sz w:val="18"/>
                <w:szCs w:val="18"/>
              </w:rPr>
              <w:t>控制变量</w:t>
            </w:r>
          </w:p>
        </w:tc>
        <w:tc>
          <w:tcPr>
            <w:tcW w:w="2298" w:type="dxa"/>
            <w:tcBorders>
              <w:top w:val="nil"/>
              <w:left w:val="nil"/>
              <w:bottom w:val="nil"/>
              <w:right w:val="nil"/>
            </w:tcBorders>
            <w:vAlign w:val="center"/>
          </w:tcPr>
          <w:p w14:paraId="29B7508A">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2298" w:type="dxa"/>
            <w:tcBorders>
              <w:top w:val="nil"/>
              <w:left w:val="nil"/>
              <w:bottom w:val="nil"/>
              <w:right w:val="nil"/>
            </w:tcBorders>
            <w:vAlign w:val="center"/>
          </w:tcPr>
          <w:p w14:paraId="5DB00D75">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2299" w:type="dxa"/>
            <w:tcBorders>
              <w:top w:val="nil"/>
              <w:left w:val="nil"/>
              <w:bottom w:val="nil"/>
              <w:right w:val="nil"/>
            </w:tcBorders>
            <w:vAlign w:val="center"/>
          </w:tcPr>
          <w:p w14:paraId="15056F34">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r>
      <w:tr w14:paraId="2669F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444" w:type="dxa"/>
            <w:tcBorders>
              <w:top w:val="nil"/>
              <w:left w:val="nil"/>
              <w:bottom w:val="nil"/>
              <w:right w:val="nil"/>
            </w:tcBorders>
            <w:vAlign w:val="center"/>
          </w:tcPr>
          <w:p w14:paraId="2382BBCB">
            <w:pPr>
              <w:jc w:val="center"/>
              <w:rPr>
                <w:rFonts w:ascii="Times New Roman" w:hAnsi="Times New Roman" w:eastAsia="宋体" w:cs="Times New Roman"/>
                <w:sz w:val="18"/>
                <w:szCs w:val="18"/>
              </w:rPr>
            </w:pPr>
            <w:r>
              <w:rPr>
                <w:rFonts w:ascii="Times New Roman" w:hAnsi="Times New Roman" w:eastAsia="宋体" w:cs="Times New Roman"/>
                <w:sz w:val="18"/>
                <w:szCs w:val="18"/>
              </w:rPr>
              <w:t>个体固定</w:t>
            </w:r>
          </w:p>
        </w:tc>
        <w:tc>
          <w:tcPr>
            <w:tcW w:w="2298" w:type="dxa"/>
            <w:tcBorders>
              <w:top w:val="nil"/>
              <w:left w:val="nil"/>
              <w:bottom w:val="nil"/>
              <w:right w:val="nil"/>
            </w:tcBorders>
            <w:vAlign w:val="center"/>
          </w:tcPr>
          <w:p w14:paraId="5A9493C6">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2298" w:type="dxa"/>
            <w:tcBorders>
              <w:top w:val="nil"/>
              <w:left w:val="nil"/>
              <w:bottom w:val="nil"/>
              <w:right w:val="nil"/>
            </w:tcBorders>
            <w:vAlign w:val="center"/>
          </w:tcPr>
          <w:p w14:paraId="012214AE">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2299" w:type="dxa"/>
            <w:tcBorders>
              <w:top w:val="nil"/>
              <w:left w:val="nil"/>
              <w:bottom w:val="nil"/>
              <w:right w:val="nil"/>
            </w:tcBorders>
            <w:vAlign w:val="center"/>
          </w:tcPr>
          <w:p w14:paraId="6FDCD0DA">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r>
      <w:tr w14:paraId="33141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1444" w:type="dxa"/>
            <w:tcBorders>
              <w:top w:val="nil"/>
              <w:left w:val="nil"/>
              <w:bottom w:val="nil"/>
              <w:right w:val="nil"/>
            </w:tcBorders>
            <w:vAlign w:val="center"/>
          </w:tcPr>
          <w:p w14:paraId="28F80D07">
            <w:pPr>
              <w:jc w:val="center"/>
              <w:rPr>
                <w:rFonts w:ascii="Times New Roman" w:hAnsi="Times New Roman" w:eastAsia="宋体" w:cs="Times New Roman"/>
                <w:sz w:val="18"/>
                <w:szCs w:val="18"/>
              </w:rPr>
            </w:pPr>
            <w:r>
              <w:rPr>
                <w:rFonts w:ascii="Times New Roman" w:hAnsi="Times New Roman" w:eastAsia="宋体" w:cs="Times New Roman"/>
                <w:sz w:val="18"/>
                <w:szCs w:val="18"/>
              </w:rPr>
              <w:t>N</w:t>
            </w:r>
          </w:p>
        </w:tc>
        <w:tc>
          <w:tcPr>
            <w:tcW w:w="2298" w:type="dxa"/>
            <w:tcBorders>
              <w:top w:val="nil"/>
              <w:left w:val="nil"/>
              <w:bottom w:val="nil"/>
              <w:right w:val="nil"/>
            </w:tcBorders>
            <w:vAlign w:val="center"/>
          </w:tcPr>
          <w:p w14:paraId="07BA1170">
            <w:pPr>
              <w:jc w:val="center"/>
              <w:rPr>
                <w:rFonts w:ascii="Times New Roman" w:hAnsi="Times New Roman" w:eastAsia="宋体" w:cs="Times New Roman"/>
                <w:sz w:val="18"/>
                <w:szCs w:val="18"/>
              </w:rPr>
            </w:pPr>
            <w:r>
              <w:rPr>
                <w:rFonts w:ascii="Times New Roman" w:hAnsi="Times New Roman" w:eastAsia="宋体" w:cs="Times New Roman"/>
                <w:sz w:val="18"/>
                <w:szCs w:val="18"/>
              </w:rPr>
              <w:t>360</w:t>
            </w:r>
          </w:p>
        </w:tc>
        <w:tc>
          <w:tcPr>
            <w:tcW w:w="2298" w:type="dxa"/>
            <w:tcBorders>
              <w:top w:val="nil"/>
              <w:left w:val="nil"/>
              <w:bottom w:val="nil"/>
              <w:right w:val="nil"/>
            </w:tcBorders>
            <w:vAlign w:val="center"/>
          </w:tcPr>
          <w:p w14:paraId="77215673">
            <w:pPr>
              <w:jc w:val="center"/>
              <w:rPr>
                <w:rFonts w:ascii="Times New Roman" w:hAnsi="Times New Roman" w:eastAsia="宋体" w:cs="Times New Roman"/>
                <w:sz w:val="18"/>
                <w:szCs w:val="18"/>
              </w:rPr>
            </w:pPr>
            <w:r>
              <w:rPr>
                <w:rFonts w:ascii="Times New Roman" w:hAnsi="Times New Roman" w:eastAsia="宋体" w:cs="Times New Roman"/>
                <w:sz w:val="18"/>
                <w:szCs w:val="18"/>
              </w:rPr>
              <w:t>360</w:t>
            </w:r>
          </w:p>
        </w:tc>
        <w:tc>
          <w:tcPr>
            <w:tcW w:w="2299" w:type="dxa"/>
            <w:tcBorders>
              <w:top w:val="nil"/>
              <w:left w:val="nil"/>
              <w:bottom w:val="nil"/>
              <w:right w:val="nil"/>
            </w:tcBorders>
            <w:vAlign w:val="center"/>
          </w:tcPr>
          <w:p w14:paraId="7FDBD5C6">
            <w:pPr>
              <w:jc w:val="center"/>
              <w:rPr>
                <w:rFonts w:ascii="Times New Roman" w:hAnsi="Times New Roman" w:eastAsia="宋体" w:cs="Times New Roman"/>
                <w:sz w:val="18"/>
                <w:szCs w:val="18"/>
              </w:rPr>
            </w:pPr>
            <w:r>
              <w:rPr>
                <w:rFonts w:ascii="Times New Roman" w:hAnsi="Times New Roman" w:eastAsia="宋体" w:cs="Times New Roman"/>
                <w:sz w:val="18"/>
                <w:szCs w:val="18"/>
              </w:rPr>
              <w:t>360</w:t>
            </w:r>
          </w:p>
        </w:tc>
      </w:tr>
      <w:tr w14:paraId="61986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1444" w:type="dxa"/>
            <w:tcBorders>
              <w:top w:val="nil"/>
              <w:left w:val="nil"/>
              <w:bottom w:val="single" w:color="auto" w:sz="4" w:space="0"/>
              <w:right w:val="nil"/>
            </w:tcBorders>
            <w:vAlign w:val="center"/>
          </w:tcPr>
          <w:p w14:paraId="6054E1C4">
            <w:pPr>
              <w:jc w:val="center"/>
              <w:rPr>
                <w:rFonts w:ascii="Times New Roman" w:hAnsi="Times New Roman" w:eastAsia="宋体" w:cs="Times New Roman"/>
                <w:sz w:val="18"/>
                <w:szCs w:val="18"/>
              </w:rPr>
            </w:pPr>
            <w:r>
              <w:rPr>
                <w:rFonts w:ascii="Times New Roman" w:hAnsi="Times New Roman" w:eastAsia="宋体" w:cs="Times New Roman"/>
                <w:sz w:val="18"/>
                <w:szCs w:val="18"/>
              </w:rPr>
              <w:t>R</w:t>
            </w:r>
            <w:r>
              <w:rPr>
                <w:rFonts w:ascii="Times New Roman" w:hAnsi="Times New Roman" w:eastAsia="宋体" w:cs="Times New Roman"/>
                <w:sz w:val="18"/>
                <w:szCs w:val="18"/>
                <w:vertAlign w:val="superscript"/>
              </w:rPr>
              <w:t>2</w:t>
            </w:r>
          </w:p>
        </w:tc>
        <w:tc>
          <w:tcPr>
            <w:tcW w:w="2298" w:type="dxa"/>
            <w:tcBorders>
              <w:top w:val="nil"/>
              <w:left w:val="nil"/>
              <w:bottom w:val="single" w:color="auto" w:sz="4" w:space="0"/>
              <w:right w:val="nil"/>
            </w:tcBorders>
            <w:vAlign w:val="center"/>
          </w:tcPr>
          <w:p w14:paraId="66795922">
            <w:pPr>
              <w:jc w:val="center"/>
              <w:rPr>
                <w:rFonts w:ascii="Times New Roman" w:hAnsi="Times New Roman" w:eastAsia="宋体" w:cs="Times New Roman"/>
                <w:sz w:val="18"/>
                <w:szCs w:val="18"/>
              </w:rPr>
            </w:pPr>
            <w:r>
              <w:rPr>
                <w:rFonts w:ascii="Times New Roman" w:hAnsi="Times New Roman" w:eastAsia="宋体" w:cs="Times New Roman"/>
                <w:sz w:val="18"/>
                <w:szCs w:val="18"/>
              </w:rPr>
              <w:t>0.9919</w:t>
            </w:r>
          </w:p>
        </w:tc>
        <w:tc>
          <w:tcPr>
            <w:tcW w:w="2298" w:type="dxa"/>
            <w:tcBorders>
              <w:top w:val="nil"/>
              <w:left w:val="nil"/>
              <w:bottom w:val="single" w:color="auto" w:sz="4" w:space="0"/>
              <w:right w:val="nil"/>
            </w:tcBorders>
            <w:vAlign w:val="center"/>
          </w:tcPr>
          <w:p w14:paraId="590211D1">
            <w:pPr>
              <w:jc w:val="center"/>
              <w:rPr>
                <w:rFonts w:ascii="Times New Roman" w:hAnsi="Times New Roman" w:eastAsia="宋体" w:cs="Times New Roman"/>
                <w:sz w:val="18"/>
                <w:szCs w:val="18"/>
              </w:rPr>
            </w:pPr>
            <w:r>
              <w:rPr>
                <w:rFonts w:ascii="Times New Roman" w:hAnsi="Times New Roman" w:eastAsia="宋体" w:cs="Times New Roman"/>
                <w:sz w:val="18"/>
                <w:szCs w:val="18"/>
              </w:rPr>
              <w:t>0.1226</w:t>
            </w:r>
          </w:p>
        </w:tc>
        <w:tc>
          <w:tcPr>
            <w:tcW w:w="2299" w:type="dxa"/>
            <w:tcBorders>
              <w:top w:val="nil"/>
              <w:left w:val="nil"/>
              <w:bottom w:val="single" w:color="auto" w:sz="4" w:space="0"/>
              <w:right w:val="nil"/>
            </w:tcBorders>
            <w:vAlign w:val="center"/>
          </w:tcPr>
          <w:p w14:paraId="7E379716">
            <w:pPr>
              <w:jc w:val="center"/>
              <w:rPr>
                <w:rFonts w:ascii="Times New Roman" w:hAnsi="Times New Roman" w:eastAsia="宋体" w:cs="Times New Roman"/>
                <w:sz w:val="18"/>
                <w:szCs w:val="18"/>
              </w:rPr>
            </w:pPr>
            <w:r>
              <w:rPr>
                <w:rFonts w:ascii="Times New Roman" w:hAnsi="Times New Roman" w:eastAsia="宋体" w:cs="Times New Roman"/>
                <w:sz w:val="18"/>
                <w:szCs w:val="18"/>
              </w:rPr>
              <w:t xml:space="preserve">0.9921  </w:t>
            </w:r>
          </w:p>
        </w:tc>
      </w:tr>
    </w:tbl>
    <w:p w14:paraId="25E3EF1C">
      <w:pPr>
        <w:spacing w:line="300" w:lineRule="auto"/>
        <w:rPr>
          <w:rFonts w:ascii="Times New Roman" w:hAnsi="Times New Roman" w:cs="Times New Roman"/>
          <w:b/>
          <w:bCs/>
          <w:sz w:val="18"/>
          <w:szCs w:val="18"/>
        </w:rPr>
      </w:pPr>
      <w:r>
        <w:rPr>
          <w:rFonts w:hint="eastAsia" w:ascii="Times New Roman" w:hAnsi="Times New Roman" w:cs="Times New Roman"/>
          <w:b/>
          <w:bCs/>
          <w:sz w:val="18"/>
          <w:szCs w:val="18"/>
        </w:rPr>
        <w:t>注：</w:t>
      </w:r>
      <w:r>
        <w:rPr>
          <w:rFonts w:ascii="Times New Roman" w:hAnsi="Times New Roman" w:cs="Times New Roman"/>
          <w:b/>
          <w:bCs/>
          <w:sz w:val="18"/>
          <w:szCs w:val="18"/>
        </w:rPr>
        <w:t>括号中为t统计值；*、**、***分别表示显著性水平为10%，5%和1%</w:t>
      </w:r>
      <w:r>
        <w:rPr>
          <w:rFonts w:hint="eastAsia" w:ascii="Times New Roman" w:hAnsi="Times New Roman" w:cs="Times New Roman"/>
          <w:b/>
          <w:bCs/>
          <w:sz w:val="18"/>
          <w:szCs w:val="18"/>
        </w:rPr>
        <w:t>。</w:t>
      </w:r>
    </w:p>
    <w:p w14:paraId="5F6EAE7B">
      <w:pPr>
        <w:spacing w:line="300" w:lineRule="auto"/>
        <w:ind w:firstLine="422" w:firstLineChars="200"/>
        <w:rPr>
          <w:b/>
          <w:bCs/>
        </w:rPr>
      </w:pPr>
      <w:r>
        <w:rPr>
          <w:rFonts w:hint="eastAsia"/>
          <w:b/>
          <w:bCs/>
        </w:rPr>
        <w:t>（三）稳健性检验</w:t>
      </w:r>
    </w:p>
    <w:p w14:paraId="17783437">
      <w:pPr>
        <w:spacing w:line="300" w:lineRule="auto"/>
        <w:ind w:firstLine="420" w:firstLineChars="200"/>
        <w:rPr>
          <w:rFonts w:ascii="Times New Roman" w:hAnsi="Times New Roman" w:cs="Times New Roman"/>
        </w:rPr>
      </w:pPr>
      <w:r>
        <w:rPr>
          <w:rFonts w:hint="eastAsia" w:ascii="Times New Roman" w:hAnsi="Times New Roman" w:cs="Times New Roman"/>
        </w:rPr>
        <w:t>为保证前文基准回归结果的稳健性，本文通过置换代理变量的方法进行稳健性检验</w:t>
      </w:r>
      <w:r>
        <w:rPr>
          <w:rFonts w:hint="eastAsia" w:ascii="Times New Roman" w:hAnsi="Times New Roman" w:cs="Times New Roman"/>
          <w:lang w:eastAsia="zh-CN"/>
        </w:rPr>
        <w:t>，</w:t>
      </w:r>
      <w:r>
        <w:rPr>
          <w:rFonts w:hint="eastAsia" w:ascii="Times New Roman" w:hAnsi="Times New Roman" w:cs="Times New Roman"/>
        </w:rPr>
        <w:t>见表</w:t>
      </w:r>
      <w:r>
        <w:rPr>
          <w:rFonts w:ascii="Times New Roman" w:hAnsi="Times New Roman" w:cs="Times New Roman"/>
        </w:rPr>
        <w:t>5</w:t>
      </w:r>
      <w:r>
        <w:rPr>
          <w:rFonts w:hint="eastAsia" w:ascii="Times New Roman" w:hAnsi="Times New Roman" w:cs="Times New Roman"/>
        </w:rPr>
        <w:t>。首先是对中介变量的代理变量进行置换，本文的中介变量是劳动力转移，与前文不同，该部分我们借鉴李谷成等的做法，采用农业从业人员与总从业人员的比值进行测度，该值越小，说明农业劳动力转移越多</w:t>
      </w:r>
      <w:r>
        <w:rPr>
          <w:rFonts w:ascii="Times New Roman" w:hAnsi="Times New Roman" w:cs="Times New Roman"/>
          <w:vertAlign w:val="superscript"/>
        </w:rPr>
        <w:t>[</w:t>
      </w:r>
      <w:r>
        <w:rPr>
          <w:rFonts w:hint="eastAsia" w:ascii="Times New Roman" w:hAnsi="Times New Roman" w:cs="Times New Roman"/>
          <w:vertAlign w:val="superscript"/>
          <w:lang w:val="en-US" w:eastAsia="zh-CN"/>
        </w:rPr>
        <w:t>25</w:t>
      </w:r>
      <w:r>
        <w:rPr>
          <w:rFonts w:ascii="Times New Roman" w:hAnsi="Times New Roman" w:cs="Times New Roman"/>
          <w:vertAlign w:val="superscript"/>
        </w:rPr>
        <w:t>]</w:t>
      </w:r>
      <w:r>
        <w:rPr>
          <w:rFonts w:hint="eastAsia" w:ascii="Times New Roman" w:hAnsi="Times New Roman" w:cs="Times New Roman"/>
        </w:rPr>
        <w:t>。估计结果见回归（7），结果表明：农业现代化对二元经济结构优化作用仍显著为正，中介变量显著为负，说明随着一产从业人员的减少，二元经济结构得以优化，估计结果为前文类似。其次是对被解释变量的代理变量进行置换，本文的被解释变量是二元经济结构，该部分使用另两个常用指标进行检验——比较劳动生产率差异和二元反差系数，两个指标的值越小，二元经济结构越优化。估计结果分别见回归（8）与（9），结果表明，农业现代化、劳动力转移对比较劳动生产率差异和二元反差系数的影响均显著为负，即农业现代化和劳动力转移均有利于二元经济结构优化，证实前文基准回归结果具有稳健性。</w:t>
      </w:r>
    </w:p>
    <w:p w14:paraId="69F0D9F3">
      <w:pPr>
        <w:spacing w:line="300" w:lineRule="auto"/>
        <w:jc w:val="center"/>
        <w:rPr>
          <w:rFonts w:ascii="Times New Roman" w:hAnsi="Times New Roman" w:cs="Times New Roman"/>
        </w:rPr>
      </w:pPr>
      <w:r>
        <w:rPr>
          <w:rFonts w:ascii="Times New Roman" w:hAnsi="Times New Roman" w:cs="Times New Roman"/>
          <w:b/>
          <w:bCs/>
          <w:kern w:val="0"/>
          <w:sz w:val="18"/>
          <w:szCs w:val="18"/>
        </w:rPr>
        <w:t>表5  农业现代化、劳动力转移对二元经济结构影响的稳健性检验</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4"/>
        <w:gridCol w:w="2291"/>
        <w:gridCol w:w="2291"/>
        <w:gridCol w:w="2293"/>
      </w:tblGrid>
      <w:tr w14:paraId="142DF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424" w:type="dxa"/>
            <w:vMerge w:val="restart"/>
            <w:tcBorders>
              <w:top w:val="single" w:color="auto" w:sz="4" w:space="0"/>
              <w:left w:val="nil"/>
              <w:bottom w:val="nil"/>
              <w:right w:val="nil"/>
            </w:tcBorders>
            <w:vAlign w:val="center"/>
          </w:tcPr>
          <w:p w14:paraId="425C019B">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变量</w:t>
            </w:r>
          </w:p>
        </w:tc>
        <w:tc>
          <w:tcPr>
            <w:tcW w:w="2291" w:type="dxa"/>
            <w:tcBorders>
              <w:top w:val="single" w:color="auto" w:sz="4" w:space="0"/>
              <w:left w:val="nil"/>
              <w:bottom w:val="single" w:color="auto" w:sz="4" w:space="0"/>
              <w:right w:val="nil"/>
            </w:tcBorders>
            <w:vAlign w:val="center"/>
          </w:tcPr>
          <w:p w14:paraId="2A41722D">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（7）</w:t>
            </w:r>
          </w:p>
        </w:tc>
        <w:tc>
          <w:tcPr>
            <w:tcW w:w="2291" w:type="dxa"/>
            <w:tcBorders>
              <w:top w:val="single" w:color="auto" w:sz="4" w:space="0"/>
              <w:left w:val="nil"/>
              <w:bottom w:val="single" w:color="auto" w:sz="4" w:space="0"/>
              <w:right w:val="nil"/>
            </w:tcBorders>
            <w:vAlign w:val="center"/>
          </w:tcPr>
          <w:p w14:paraId="1C79EA67">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（8）</w:t>
            </w:r>
          </w:p>
        </w:tc>
        <w:tc>
          <w:tcPr>
            <w:tcW w:w="2293" w:type="dxa"/>
            <w:tcBorders>
              <w:top w:val="single" w:color="auto" w:sz="4" w:space="0"/>
              <w:left w:val="nil"/>
              <w:bottom w:val="single" w:color="auto" w:sz="4" w:space="0"/>
              <w:right w:val="nil"/>
            </w:tcBorders>
            <w:vAlign w:val="center"/>
          </w:tcPr>
          <w:p w14:paraId="708CC3B5">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（9）</w:t>
            </w:r>
          </w:p>
        </w:tc>
      </w:tr>
      <w:tr w14:paraId="30DF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424" w:type="dxa"/>
            <w:vMerge w:val="continue"/>
            <w:tcBorders>
              <w:top w:val="nil"/>
              <w:left w:val="nil"/>
              <w:bottom w:val="single" w:color="auto" w:sz="4" w:space="0"/>
              <w:right w:val="nil"/>
            </w:tcBorders>
            <w:vAlign w:val="center"/>
          </w:tcPr>
          <w:p w14:paraId="471363EC">
            <w:pPr>
              <w:jc w:val="center"/>
              <w:rPr>
                <w:rFonts w:ascii="Times New Roman" w:hAnsi="Times New Roman" w:eastAsia="宋体" w:cs="Times New Roman"/>
                <w:sz w:val="18"/>
                <w:szCs w:val="18"/>
              </w:rPr>
            </w:pPr>
          </w:p>
        </w:tc>
        <w:tc>
          <w:tcPr>
            <w:tcW w:w="2291" w:type="dxa"/>
            <w:tcBorders>
              <w:top w:val="single" w:color="auto" w:sz="4" w:space="0"/>
              <w:left w:val="nil"/>
              <w:bottom w:val="single" w:color="auto" w:sz="4" w:space="0"/>
              <w:right w:val="nil"/>
            </w:tcBorders>
            <w:vAlign w:val="center"/>
          </w:tcPr>
          <w:p w14:paraId="7F0309A5">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stru</w:t>
            </w:r>
          </w:p>
        </w:tc>
        <w:tc>
          <w:tcPr>
            <w:tcW w:w="2291" w:type="dxa"/>
            <w:tcBorders>
              <w:top w:val="single" w:color="auto" w:sz="4" w:space="0"/>
              <w:left w:val="nil"/>
              <w:bottom w:val="single" w:color="auto" w:sz="4" w:space="0"/>
              <w:right w:val="nil"/>
            </w:tcBorders>
            <w:vAlign w:val="center"/>
          </w:tcPr>
          <w:p w14:paraId="79524D0F">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stru_1</w:t>
            </w:r>
          </w:p>
        </w:tc>
        <w:tc>
          <w:tcPr>
            <w:tcW w:w="2293" w:type="dxa"/>
            <w:tcBorders>
              <w:top w:val="single" w:color="auto" w:sz="4" w:space="0"/>
              <w:left w:val="nil"/>
              <w:bottom w:val="single" w:color="auto" w:sz="4" w:space="0"/>
              <w:right w:val="nil"/>
            </w:tcBorders>
            <w:vAlign w:val="center"/>
          </w:tcPr>
          <w:p w14:paraId="4C0825E5">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stru_2</w:t>
            </w:r>
          </w:p>
        </w:tc>
      </w:tr>
      <w:tr w14:paraId="2F8BD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424" w:type="dxa"/>
            <w:tcBorders>
              <w:top w:val="single" w:color="auto" w:sz="4" w:space="0"/>
              <w:left w:val="nil"/>
              <w:bottom w:val="nil"/>
              <w:right w:val="nil"/>
            </w:tcBorders>
            <w:vAlign w:val="center"/>
          </w:tcPr>
          <w:p w14:paraId="7924BF7A">
            <w:pPr>
              <w:jc w:val="center"/>
              <w:rPr>
                <w:rFonts w:ascii="Times New Roman" w:hAnsi="Times New Roman" w:eastAsia="宋体" w:cs="Times New Roman"/>
                <w:sz w:val="18"/>
                <w:szCs w:val="18"/>
              </w:rPr>
            </w:pPr>
            <w:r>
              <w:rPr>
                <w:rFonts w:ascii="Times New Roman" w:hAnsi="Times New Roman" w:eastAsia="宋体" w:cs="Times New Roman"/>
                <w:sz w:val="18"/>
                <w:szCs w:val="18"/>
              </w:rPr>
              <w:t>agr</w:t>
            </w:r>
          </w:p>
        </w:tc>
        <w:tc>
          <w:tcPr>
            <w:tcW w:w="2291" w:type="dxa"/>
            <w:tcBorders>
              <w:top w:val="single" w:color="auto" w:sz="4" w:space="0"/>
              <w:left w:val="nil"/>
              <w:bottom w:val="nil"/>
              <w:right w:val="nil"/>
            </w:tcBorders>
            <w:vAlign w:val="center"/>
          </w:tcPr>
          <w:p w14:paraId="6A7E2987">
            <w:pPr>
              <w:jc w:val="center"/>
              <w:rPr>
                <w:rFonts w:ascii="Times New Roman" w:hAnsi="Times New Roman" w:eastAsia="宋体" w:cs="Times New Roman"/>
                <w:sz w:val="18"/>
                <w:szCs w:val="18"/>
              </w:rPr>
            </w:pPr>
            <w:r>
              <w:rPr>
                <w:rFonts w:ascii="Times New Roman" w:hAnsi="Times New Roman" w:eastAsia="宋体" w:cs="Times New Roman"/>
                <w:sz w:val="18"/>
                <w:szCs w:val="18"/>
              </w:rPr>
              <w:t>1.0417***</w:t>
            </w:r>
          </w:p>
          <w:p w14:paraId="6C747CFB">
            <w:pPr>
              <w:jc w:val="center"/>
              <w:rPr>
                <w:rFonts w:ascii="Times New Roman" w:hAnsi="Times New Roman" w:eastAsia="宋体" w:cs="Times New Roman"/>
                <w:sz w:val="18"/>
                <w:szCs w:val="18"/>
              </w:rPr>
            </w:pPr>
            <w:r>
              <w:rPr>
                <w:rFonts w:ascii="Times New Roman" w:hAnsi="Times New Roman" w:eastAsia="宋体" w:cs="Times New Roman"/>
                <w:sz w:val="18"/>
                <w:szCs w:val="18"/>
              </w:rPr>
              <w:t>（36.58）</w:t>
            </w:r>
          </w:p>
        </w:tc>
        <w:tc>
          <w:tcPr>
            <w:tcW w:w="2291" w:type="dxa"/>
            <w:tcBorders>
              <w:top w:val="single" w:color="auto" w:sz="4" w:space="0"/>
              <w:left w:val="nil"/>
              <w:bottom w:val="nil"/>
              <w:right w:val="nil"/>
            </w:tcBorders>
            <w:vAlign w:val="center"/>
          </w:tcPr>
          <w:p w14:paraId="4111DC3B">
            <w:pPr>
              <w:jc w:val="center"/>
              <w:rPr>
                <w:rFonts w:ascii="Times New Roman" w:hAnsi="Times New Roman" w:eastAsia="宋体" w:cs="Times New Roman"/>
                <w:sz w:val="18"/>
                <w:szCs w:val="18"/>
              </w:rPr>
            </w:pPr>
            <w:r>
              <w:rPr>
                <w:rFonts w:ascii="Times New Roman" w:hAnsi="Times New Roman" w:eastAsia="宋体" w:cs="Times New Roman"/>
                <w:sz w:val="18"/>
                <w:szCs w:val="18"/>
              </w:rPr>
              <w:t>-3.0740***</w:t>
            </w:r>
          </w:p>
          <w:p w14:paraId="69F99134">
            <w:pPr>
              <w:jc w:val="center"/>
              <w:rPr>
                <w:rFonts w:ascii="Times New Roman" w:hAnsi="Times New Roman" w:eastAsia="宋体" w:cs="Times New Roman"/>
                <w:sz w:val="18"/>
                <w:szCs w:val="18"/>
              </w:rPr>
            </w:pPr>
            <w:r>
              <w:rPr>
                <w:rFonts w:ascii="Times New Roman" w:hAnsi="Times New Roman" w:eastAsia="宋体" w:cs="Times New Roman"/>
                <w:sz w:val="18"/>
                <w:szCs w:val="18"/>
              </w:rPr>
              <w:t>（-4.44）</w:t>
            </w:r>
          </w:p>
        </w:tc>
        <w:tc>
          <w:tcPr>
            <w:tcW w:w="2293" w:type="dxa"/>
            <w:tcBorders>
              <w:top w:val="single" w:color="auto" w:sz="4" w:space="0"/>
              <w:left w:val="nil"/>
              <w:bottom w:val="nil"/>
              <w:right w:val="nil"/>
            </w:tcBorders>
            <w:vAlign w:val="center"/>
          </w:tcPr>
          <w:p w14:paraId="5E9C6E87">
            <w:pPr>
              <w:jc w:val="center"/>
              <w:rPr>
                <w:rFonts w:ascii="Times New Roman" w:hAnsi="Times New Roman" w:eastAsia="宋体" w:cs="Times New Roman"/>
                <w:sz w:val="18"/>
                <w:szCs w:val="18"/>
              </w:rPr>
            </w:pPr>
            <w:r>
              <w:rPr>
                <w:rFonts w:ascii="Times New Roman" w:hAnsi="Times New Roman" w:eastAsia="宋体" w:cs="Times New Roman"/>
                <w:sz w:val="18"/>
                <w:szCs w:val="18"/>
              </w:rPr>
              <w:t>-0.8506***</w:t>
            </w:r>
          </w:p>
          <w:p w14:paraId="6FE8C7DE">
            <w:pPr>
              <w:jc w:val="center"/>
              <w:rPr>
                <w:rFonts w:ascii="Times New Roman" w:hAnsi="Times New Roman" w:eastAsia="宋体" w:cs="Times New Roman"/>
                <w:sz w:val="18"/>
                <w:szCs w:val="18"/>
              </w:rPr>
            </w:pPr>
            <w:r>
              <w:rPr>
                <w:rFonts w:ascii="Times New Roman" w:hAnsi="Times New Roman" w:eastAsia="宋体" w:cs="Times New Roman"/>
                <w:sz w:val="18"/>
                <w:szCs w:val="18"/>
              </w:rPr>
              <w:t>（-5.25）</w:t>
            </w:r>
          </w:p>
        </w:tc>
      </w:tr>
      <w:tr w14:paraId="41E14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424" w:type="dxa"/>
            <w:tcBorders>
              <w:top w:val="nil"/>
              <w:left w:val="nil"/>
              <w:bottom w:val="nil"/>
              <w:right w:val="nil"/>
            </w:tcBorders>
            <w:vAlign w:val="center"/>
          </w:tcPr>
          <w:p w14:paraId="74B982CA">
            <w:pPr>
              <w:jc w:val="center"/>
              <w:rPr>
                <w:rFonts w:ascii="Times New Roman" w:hAnsi="Times New Roman" w:eastAsia="宋体" w:cs="Times New Roman"/>
                <w:sz w:val="18"/>
                <w:szCs w:val="18"/>
              </w:rPr>
            </w:pPr>
            <w:r>
              <w:rPr>
                <w:rFonts w:ascii="Times New Roman" w:hAnsi="Times New Roman" w:eastAsia="宋体" w:cs="Times New Roman"/>
                <w:sz w:val="18"/>
                <w:szCs w:val="18"/>
              </w:rPr>
              <w:t>tran</w:t>
            </w:r>
          </w:p>
        </w:tc>
        <w:tc>
          <w:tcPr>
            <w:tcW w:w="2291" w:type="dxa"/>
            <w:tcBorders>
              <w:top w:val="nil"/>
              <w:left w:val="nil"/>
              <w:bottom w:val="nil"/>
              <w:right w:val="nil"/>
            </w:tcBorders>
            <w:vAlign w:val="center"/>
          </w:tcPr>
          <w:p w14:paraId="27994FE5">
            <w:pPr>
              <w:jc w:val="center"/>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2291" w:type="dxa"/>
            <w:tcBorders>
              <w:top w:val="nil"/>
              <w:left w:val="nil"/>
              <w:bottom w:val="nil"/>
              <w:right w:val="nil"/>
            </w:tcBorders>
            <w:vAlign w:val="center"/>
          </w:tcPr>
          <w:p w14:paraId="67378315">
            <w:pPr>
              <w:jc w:val="center"/>
              <w:rPr>
                <w:rFonts w:ascii="Times New Roman" w:hAnsi="Times New Roman" w:eastAsia="宋体" w:cs="Times New Roman"/>
                <w:sz w:val="18"/>
                <w:szCs w:val="18"/>
              </w:rPr>
            </w:pPr>
            <w:r>
              <w:rPr>
                <w:rFonts w:ascii="Times New Roman" w:hAnsi="Times New Roman" w:eastAsia="宋体" w:cs="Times New Roman"/>
                <w:sz w:val="18"/>
                <w:szCs w:val="18"/>
              </w:rPr>
              <w:t>-0.0231**</w:t>
            </w:r>
          </w:p>
          <w:p w14:paraId="36471C76">
            <w:pPr>
              <w:jc w:val="center"/>
              <w:rPr>
                <w:rFonts w:ascii="Times New Roman" w:hAnsi="Times New Roman" w:eastAsia="宋体" w:cs="Times New Roman"/>
                <w:sz w:val="18"/>
                <w:szCs w:val="18"/>
              </w:rPr>
            </w:pPr>
            <w:r>
              <w:rPr>
                <w:rFonts w:ascii="Times New Roman" w:hAnsi="Times New Roman" w:eastAsia="宋体" w:cs="Times New Roman"/>
                <w:sz w:val="18"/>
                <w:szCs w:val="18"/>
              </w:rPr>
              <w:t>（-2.15）</w:t>
            </w:r>
          </w:p>
        </w:tc>
        <w:tc>
          <w:tcPr>
            <w:tcW w:w="2293" w:type="dxa"/>
            <w:tcBorders>
              <w:top w:val="nil"/>
              <w:left w:val="nil"/>
              <w:bottom w:val="nil"/>
              <w:right w:val="nil"/>
            </w:tcBorders>
            <w:vAlign w:val="center"/>
          </w:tcPr>
          <w:p w14:paraId="5C9A1BE6">
            <w:pPr>
              <w:jc w:val="center"/>
              <w:rPr>
                <w:rFonts w:ascii="Times New Roman" w:hAnsi="Times New Roman" w:eastAsia="宋体" w:cs="Times New Roman"/>
                <w:sz w:val="18"/>
                <w:szCs w:val="18"/>
              </w:rPr>
            </w:pPr>
            <w:r>
              <w:rPr>
                <w:rFonts w:ascii="Times New Roman" w:hAnsi="Times New Roman" w:eastAsia="宋体" w:cs="Times New Roman"/>
                <w:sz w:val="18"/>
                <w:szCs w:val="18"/>
              </w:rPr>
              <w:t>-0.0033*</w:t>
            </w:r>
          </w:p>
          <w:p w14:paraId="26A395BA">
            <w:pPr>
              <w:jc w:val="center"/>
              <w:rPr>
                <w:rFonts w:ascii="Times New Roman" w:hAnsi="Times New Roman" w:eastAsia="宋体" w:cs="Times New Roman"/>
                <w:sz w:val="18"/>
                <w:szCs w:val="18"/>
              </w:rPr>
            </w:pPr>
            <w:r>
              <w:rPr>
                <w:rFonts w:ascii="Times New Roman" w:hAnsi="Times New Roman" w:eastAsia="宋体" w:cs="Times New Roman"/>
                <w:sz w:val="18"/>
                <w:szCs w:val="18"/>
              </w:rPr>
              <w:t>（-1.74）</w:t>
            </w:r>
          </w:p>
        </w:tc>
      </w:tr>
      <w:tr w14:paraId="6179C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424" w:type="dxa"/>
            <w:tcBorders>
              <w:top w:val="nil"/>
              <w:left w:val="nil"/>
              <w:bottom w:val="nil"/>
              <w:right w:val="nil"/>
            </w:tcBorders>
            <w:vAlign w:val="center"/>
          </w:tcPr>
          <w:p w14:paraId="22C6D317">
            <w:pPr>
              <w:jc w:val="center"/>
              <w:rPr>
                <w:rFonts w:ascii="Times New Roman" w:hAnsi="Times New Roman" w:eastAsia="宋体" w:cs="Times New Roman"/>
                <w:sz w:val="18"/>
                <w:szCs w:val="18"/>
              </w:rPr>
            </w:pPr>
            <w:r>
              <w:rPr>
                <w:rFonts w:ascii="Times New Roman" w:hAnsi="Times New Roman" w:eastAsia="宋体" w:cs="Times New Roman"/>
                <w:sz w:val="18"/>
                <w:szCs w:val="18"/>
              </w:rPr>
              <w:t>tran_1</w:t>
            </w:r>
          </w:p>
        </w:tc>
        <w:tc>
          <w:tcPr>
            <w:tcW w:w="2291" w:type="dxa"/>
            <w:tcBorders>
              <w:top w:val="nil"/>
              <w:left w:val="nil"/>
              <w:bottom w:val="nil"/>
              <w:right w:val="nil"/>
            </w:tcBorders>
            <w:vAlign w:val="center"/>
          </w:tcPr>
          <w:p w14:paraId="6BC29ACF">
            <w:pPr>
              <w:jc w:val="center"/>
              <w:rPr>
                <w:rFonts w:ascii="Times New Roman" w:hAnsi="Times New Roman" w:eastAsia="宋体" w:cs="Times New Roman"/>
                <w:sz w:val="18"/>
                <w:szCs w:val="18"/>
              </w:rPr>
            </w:pPr>
            <w:r>
              <w:rPr>
                <w:rFonts w:ascii="Times New Roman" w:hAnsi="Times New Roman" w:eastAsia="宋体" w:cs="Times New Roman"/>
                <w:sz w:val="18"/>
                <w:szCs w:val="18"/>
              </w:rPr>
              <w:t>-0.0468**</w:t>
            </w:r>
          </w:p>
          <w:p w14:paraId="2C9BD6C7">
            <w:pPr>
              <w:jc w:val="center"/>
              <w:rPr>
                <w:rFonts w:ascii="Times New Roman" w:hAnsi="Times New Roman" w:eastAsia="宋体" w:cs="Times New Roman"/>
                <w:sz w:val="18"/>
                <w:szCs w:val="18"/>
              </w:rPr>
            </w:pPr>
            <w:r>
              <w:rPr>
                <w:rFonts w:ascii="Times New Roman" w:hAnsi="Times New Roman" w:eastAsia="宋体" w:cs="Times New Roman"/>
                <w:sz w:val="18"/>
                <w:szCs w:val="18"/>
              </w:rPr>
              <w:t>(-2.04)</w:t>
            </w:r>
          </w:p>
        </w:tc>
        <w:tc>
          <w:tcPr>
            <w:tcW w:w="2291" w:type="dxa"/>
            <w:tcBorders>
              <w:top w:val="nil"/>
              <w:left w:val="nil"/>
              <w:bottom w:val="nil"/>
              <w:right w:val="nil"/>
            </w:tcBorders>
            <w:vAlign w:val="center"/>
          </w:tcPr>
          <w:p w14:paraId="7CA06C43">
            <w:pPr>
              <w:jc w:val="center"/>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2293" w:type="dxa"/>
            <w:tcBorders>
              <w:top w:val="nil"/>
              <w:left w:val="nil"/>
              <w:bottom w:val="nil"/>
              <w:right w:val="nil"/>
            </w:tcBorders>
            <w:vAlign w:val="center"/>
          </w:tcPr>
          <w:p w14:paraId="52F6D961">
            <w:pPr>
              <w:jc w:val="center"/>
              <w:rPr>
                <w:rFonts w:ascii="Times New Roman" w:hAnsi="Times New Roman" w:eastAsia="宋体" w:cs="Times New Roman"/>
                <w:sz w:val="18"/>
                <w:szCs w:val="18"/>
              </w:rPr>
            </w:pPr>
            <w:r>
              <w:rPr>
                <w:rFonts w:ascii="Times New Roman" w:hAnsi="Times New Roman" w:eastAsia="宋体" w:cs="Times New Roman"/>
                <w:sz w:val="18"/>
                <w:szCs w:val="18"/>
              </w:rPr>
              <w:t>—</w:t>
            </w:r>
          </w:p>
        </w:tc>
      </w:tr>
      <w:tr w14:paraId="4199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424" w:type="dxa"/>
            <w:tcBorders>
              <w:top w:val="nil"/>
              <w:left w:val="nil"/>
              <w:bottom w:val="nil"/>
              <w:right w:val="nil"/>
            </w:tcBorders>
            <w:vAlign w:val="center"/>
          </w:tcPr>
          <w:p w14:paraId="1C6C076D">
            <w:pPr>
              <w:jc w:val="center"/>
              <w:rPr>
                <w:rFonts w:ascii="Times New Roman" w:hAnsi="Times New Roman" w:eastAsia="宋体" w:cs="Times New Roman"/>
                <w:sz w:val="18"/>
                <w:szCs w:val="18"/>
              </w:rPr>
            </w:pPr>
            <w:r>
              <w:rPr>
                <w:rFonts w:ascii="Times New Roman" w:hAnsi="Times New Roman" w:cs="Times New Roman"/>
                <w:sz w:val="18"/>
                <w:szCs w:val="18"/>
              </w:rPr>
              <w:t>_cons</w:t>
            </w:r>
          </w:p>
        </w:tc>
        <w:tc>
          <w:tcPr>
            <w:tcW w:w="2291" w:type="dxa"/>
            <w:tcBorders>
              <w:top w:val="nil"/>
              <w:left w:val="nil"/>
              <w:bottom w:val="nil"/>
              <w:right w:val="nil"/>
            </w:tcBorders>
            <w:vAlign w:val="center"/>
          </w:tcPr>
          <w:p w14:paraId="6DF02F73">
            <w:pPr>
              <w:jc w:val="center"/>
              <w:rPr>
                <w:rFonts w:ascii="Times New Roman" w:hAnsi="Times New Roman" w:eastAsia="宋体" w:cs="Times New Roman"/>
                <w:sz w:val="18"/>
                <w:szCs w:val="18"/>
              </w:rPr>
            </w:pPr>
            <w:r>
              <w:rPr>
                <w:rFonts w:ascii="Times New Roman" w:hAnsi="Times New Roman" w:eastAsia="宋体" w:cs="Times New Roman"/>
                <w:sz w:val="18"/>
                <w:szCs w:val="18"/>
              </w:rPr>
              <w:t>-0.6096***</w:t>
            </w:r>
          </w:p>
          <w:p w14:paraId="3CF03806">
            <w:pPr>
              <w:jc w:val="center"/>
              <w:rPr>
                <w:rFonts w:ascii="Times New Roman" w:hAnsi="Times New Roman" w:eastAsia="宋体" w:cs="Times New Roman"/>
                <w:sz w:val="18"/>
                <w:szCs w:val="18"/>
              </w:rPr>
            </w:pPr>
            <w:r>
              <w:rPr>
                <w:rFonts w:ascii="Times New Roman" w:hAnsi="Times New Roman" w:eastAsia="宋体" w:cs="Times New Roman"/>
                <w:sz w:val="18"/>
                <w:szCs w:val="18"/>
              </w:rPr>
              <w:t>（-7.69）</w:t>
            </w:r>
          </w:p>
        </w:tc>
        <w:tc>
          <w:tcPr>
            <w:tcW w:w="2291" w:type="dxa"/>
            <w:tcBorders>
              <w:top w:val="nil"/>
              <w:left w:val="nil"/>
              <w:bottom w:val="nil"/>
              <w:right w:val="nil"/>
            </w:tcBorders>
            <w:vAlign w:val="center"/>
          </w:tcPr>
          <w:p w14:paraId="144D6285">
            <w:pPr>
              <w:jc w:val="center"/>
              <w:rPr>
                <w:rFonts w:ascii="Times New Roman" w:hAnsi="Times New Roman" w:eastAsia="宋体" w:cs="Times New Roman"/>
                <w:sz w:val="18"/>
                <w:szCs w:val="18"/>
              </w:rPr>
            </w:pPr>
            <w:r>
              <w:rPr>
                <w:rFonts w:ascii="Times New Roman" w:hAnsi="Times New Roman" w:eastAsia="宋体" w:cs="Times New Roman"/>
                <w:sz w:val="18"/>
                <w:szCs w:val="18"/>
              </w:rPr>
              <w:t>5.3017***</w:t>
            </w:r>
          </w:p>
          <w:p w14:paraId="03175523">
            <w:pPr>
              <w:jc w:val="center"/>
              <w:rPr>
                <w:rFonts w:ascii="Times New Roman" w:hAnsi="Times New Roman" w:eastAsia="宋体" w:cs="Times New Roman"/>
                <w:sz w:val="18"/>
                <w:szCs w:val="18"/>
              </w:rPr>
            </w:pPr>
            <w:r>
              <w:rPr>
                <w:rFonts w:ascii="Times New Roman" w:hAnsi="Times New Roman" w:eastAsia="宋体" w:cs="Times New Roman"/>
                <w:sz w:val="18"/>
                <w:szCs w:val="18"/>
              </w:rPr>
              <w:t>（2.82）</w:t>
            </w:r>
          </w:p>
        </w:tc>
        <w:tc>
          <w:tcPr>
            <w:tcW w:w="2293" w:type="dxa"/>
            <w:tcBorders>
              <w:top w:val="nil"/>
              <w:left w:val="nil"/>
              <w:bottom w:val="nil"/>
              <w:right w:val="nil"/>
            </w:tcBorders>
            <w:vAlign w:val="center"/>
          </w:tcPr>
          <w:p w14:paraId="03D80E92">
            <w:pPr>
              <w:jc w:val="center"/>
              <w:rPr>
                <w:rFonts w:ascii="Times New Roman" w:hAnsi="Times New Roman" w:eastAsia="宋体" w:cs="Times New Roman"/>
                <w:sz w:val="18"/>
                <w:szCs w:val="18"/>
              </w:rPr>
            </w:pPr>
            <w:r>
              <w:rPr>
                <w:rFonts w:ascii="Times New Roman" w:hAnsi="Times New Roman" w:eastAsia="宋体" w:cs="Times New Roman"/>
                <w:sz w:val="18"/>
                <w:szCs w:val="18"/>
              </w:rPr>
              <w:t>1.5265***</w:t>
            </w:r>
          </w:p>
          <w:p w14:paraId="64BEBA56">
            <w:pPr>
              <w:jc w:val="center"/>
              <w:rPr>
                <w:rFonts w:ascii="Times New Roman" w:hAnsi="Times New Roman" w:eastAsia="宋体" w:cs="Times New Roman"/>
                <w:sz w:val="18"/>
                <w:szCs w:val="18"/>
              </w:rPr>
            </w:pPr>
            <w:r>
              <w:rPr>
                <w:rFonts w:ascii="Times New Roman" w:hAnsi="Times New Roman" w:eastAsia="宋体" w:cs="Times New Roman"/>
                <w:sz w:val="18"/>
                <w:szCs w:val="18"/>
              </w:rPr>
              <w:t>（3.82）</w:t>
            </w:r>
          </w:p>
        </w:tc>
      </w:tr>
      <w:tr w14:paraId="42EE6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424" w:type="dxa"/>
            <w:tcBorders>
              <w:top w:val="nil"/>
              <w:left w:val="nil"/>
              <w:bottom w:val="nil"/>
              <w:right w:val="nil"/>
            </w:tcBorders>
            <w:vAlign w:val="center"/>
          </w:tcPr>
          <w:p w14:paraId="224D0169">
            <w:pPr>
              <w:jc w:val="center"/>
              <w:rPr>
                <w:rFonts w:ascii="Times New Roman" w:hAnsi="Times New Roman" w:eastAsia="宋体" w:cs="Times New Roman"/>
                <w:sz w:val="18"/>
                <w:szCs w:val="18"/>
              </w:rPr>
            </w:pPr>
            <w:r>
              <w:rPr>
                <w:rFonts w:ascii="Times New Roman" w:hAnsi="Times New Roman" w:eastAsia="宋体" w:cs="Times New Roman"/>
                <w:sz w:val="18"/>
                <w:szCs w:val="18"/>
              </w:rPr>
              <w:t>控制变量</w:t>
            </w:r>
          </w:p>
        </w:tc>
        <w:tc>
          <w:tcPr>
            <w:tcW w:w="2291" w:type="dxa"/>
            <w:tcBorders>
              <w:top w:val="nil"/>
              <w:left w:val="nil"/>
              <w:bottom w:val="nil"/>
              <w:right w:val="nil"/>
            </w:tcBorders>
            <w:vAlign w:val="center"/>
          </w:tcPr>
          <w:p w14:paraId="3F16B2BD">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2291" w:type="dxa"/>
            <w:tcBorders>
              <w:top w:val="nil"/>
              <w:left w:val="nil"/>
              <w:bottom w:val="nil"/>
              <w:right w:val="nil"/>
            </w:tcBorders>
            <w:vAlign w:val="center"/>
          </w:tcPr>
          <w:p w14:paraId="08AACE17">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2293" w:type="dxa"/>
            <w:tcBorders>
              <w:top w:val="nil"/>
              <w:left w:val="nil"/>
              <w:bottom w:val="nil"/>
              <w:right w:val="nil"/>
            </w:tcBorders>
            <w:vAlign w:val="center"/>
          </w:tcPr>
          <w:p w14:paraId="29B1505E">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r>
      <w:tr w14:paraId="15DC1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1424" w:type="dxa"/>
            <w:tcBorders>
              <w:top w:val="nil"/>
              <w:left w:val="nil"/>
              <w:bottom w:val="nil"/>
              <w:right w:val="nil"/>
            </w:tcBorders>
            <w:vAlign w:val="center"/>
          </w:tcPr>
          <w:p w14:paraId="1B07888A">
            <w:pPr>
              <w:jc w:val="center"/>
              <w:rPr>
                <w:rFonts w:ascii="Times New Roman" w:hAnsi="Times New Roman" w:eastAsia="宋体" w:cs="Times New Roman"/>
                <w:sz w:val="18"/>
                <w:szCs w:val="18"/>
              </w:rPr>
            </w:pPr>
            <w:r>
              <w:rPr>
                <w:rFonts w:ascii="Times New Roman" w:hAnsi="Times New Roman" w:eastAsia="宋体" w:cs="Times New Roman"/>
                <w:sz w:val="18"/>
                <w:szCs w:val="18"/>
              </w:rPr>
              <w:t>个体固定</w:t>
            </w:r>
          </w:p>
        </w:tc>
        <w:tc>
          <w:tcPr>
            <w:tcW w:w="2291" w:type="dxa"/>
            <w:tcBorders>
              <w:top w:val="nil"/>
              <w:left w:val="nil"/>
              <w:bottom w:val="nil"/>
              <w:right w:val="nil"/>
            </w:tcBorders>
            <w:vAlign w:val="center"/>
          </w:tcPr>
          <w:p w14:paraId="636A587B">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2291" w:type="dxa"/>
            <w:tcBorders>
              <w:top w:val="nil"/>
              <w:left w:val="nil"/>
              <w:bottom w:val="nil"/>
              <w:right w:val="nil"/>
            </w:tcBorders>
            <w:vAlign w:val="center"/>
          </w:tcPr>
          <w:p w14:paraId="1CE1FEDA">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2293" w:type="dxa"/>
            <w:tcBorders>
              <w:top w:val="nil"/>
              <w:left w:val="nil"/>
              <w:bottom w:val="nil"/>
              <w:right w:val="nil"/>
            </w:tcBorders>
            <w:vAlign w:val="center"/>
          </w:tcPr>
          <w:p w14:paraId="320E9D5E">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r>
      <w:tr w14:paraId="6AD75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424" w:type="dxa"/>
            <w:tcBorders>
              <w:top w:val="nil"/>
              <w:left w:val="nil"/>
              <w:bottom w:val="nil"/>
              <w:right w:val="nil"/>
            </w:tcBorders>
            <w:vAlign w:val="center"/>
          </w:tcPr>
          <w:p w14:paraId="7D686524">
            <w:pPr>
              <w:jc w:val="center"/>
              <w:rPr>
                <w:rFonts w:ascii="Times New Roman" w:hAnsi="Times New Roman" w:eastAsia="宋体" w:cs="Times New Roman"/>
                <w:sz w:val="18"/>
                <w:szCs w:val="18"/>
              </w:rPr>
            </w:pPr>
            <w:r>
              <w:rPr>
                <w:rFonts w:ascii="Times New Roman" w:hAnsi="Times New Roman" w:eastAsia="宋体" w:cs="Times New Roman"/>
                <w:sz w:val="18"/>
                <w:szCs w:val="18"/>
              </w:rPr>
              <w:t>N</w:t>
            </w:r>
          </w:p>
        </w:tc>
        <w:tc>
          <w:tcPr>
            <w:tcW w:w="2291" w:type="dxa"/>
            <w:tcBorders>
              <w:top w:val="nil"/>
              <w:left w:val="nil"/>
              <w:bottom w:val="nil"/>
              <w:right w:val="nil"/>
            </w:tcBorders>
            <w:vAlign w:val="center"/>
          </w:tcPr>
          <w:p w14:paraId="2BAAA78E">
            <w:pPr>
              <w:jc w:val="center"/>
              <w:rPr>
                <w:rFonts w:ascii="Times New Roman" w:hAnsi="Times New Roman" w:eastAsia="宋体" w:cs="Times New Roman"/>
                <w:sz w:val="18"/>
                <w:szCs w:val="18"/>
              </w:rPr>
            </w:pPr>
            <w:r>
              <w:rPr>
                <w:rFonts w:ascii="Times New Roman" w:hAnsi="Times New Roman" w:eastAsia="宋体" w:cs="Times New Roman"/>
                <w:sz w:val="18"/>
                <w:szCs w:val="18"/>
              </w:rPr>
              <w:t>360</w:t>
            </w:r>
          </w:p>
        </w:tc>
        <w:tc>
          <w:tcPr>
            <w:tcW w:w="2291" w:type="dxa"/>
            <w:tcBorders>
              <w:top w:val="nil"/>
              <w:left w:val="nil"/>
              <w:bottom w:val="nil"/>
              <w:right w:val="nil"/>
            </w:tcBorders>
            <w:vAlign w:val="center"/>
          </w:tcPr>
          <w:p w14:paraId="385DC4FB">
            <w:pPr>
              <w:jc w:val="center"/>
              <w:rPr>
                <w:rFonts w:ascii="Times New Roman" w:hAnsi="Times New Roman" w:eastAsia="宋体" w:cs="Times New Roman"/>
                <w:sz w:val="18"/>
                <w:szCs w:val="18"/>
              </w:rPr>
            </w:pPr>
            <w:r>
              <w:rPr>
                <w:rFonts w:ascii="Times New Roman" w:hAnsi="Times New Roman" w:eastAsia="宋体" w:cs="Times New Roman"/>
                <w:sz w:val="18"/>
                <w:szCs w:val="18"/>
              </w:rPr>
              <w:t>360</w:t>
            </w:r>
          </w:p>
        </w:tc>
        <w:tc>
          <w:tcPr>
            <w:tcW w:w="2293" w:type="dxa"/>
            <w:tcBorders>
              <w:top w:val="nil"/>
              <w:left w:val="nil"/>
              <w:bottom w:val="nil"/>
              <w:right w:val="nil"/>
            </w:tcBorders>
            <w:vAlign w:val="center"/>
          </w:tcPr>
          <w:p w14:paraId="0E843015">
            <w:pPr>
              <w:jc w:val="center"/>
              <w:rPr>
                <w:rFonts w:ascii="Times New Roman" w:hAnsi="Times New Roman" w:eastAsia="宋体" w:cs="Times New Roman"/>
                <w:sz w:val="18"/>
                <w:szCs w:val="18"/>
              </w:rPr>
            </w:pPr>
            <w:r>
              <w:rPr>
                <w:rFonts w:ascii="Times New Roman" w:hAnsi="Times New Roman" w:eastAsia="宋体" w:cs="Times New Roman"/>
                <w:sz w:val="18"/>
                <w:szCs w:val="18"/>
              </w:rPr>
              <w:t>360</w:t>
            </w:r>
          </w:p>
        </w:tc>
      </w:tr>
      <w:tr w14:paraId="6BE2A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424" w:type="dxa"/>
            <w:tcBorders>
              <w:top w:val="nil"/>
              <w:left w:val="nil"/>
              <w:bottom w:val="single" w:color="auto" w:sz="4" w:space="0"/>
              <w:right w:val="nil"/>
            </w:tcBorders>
            <w:vAlign w:val="center"/>
          </w:tcPr>
          <w:p w14:paraId="62A02DF8">
            <w:pPr>
              <w:jc w:val="center"/>
              <w:rPr>
                <w:rFonts w:ascii="Times New Roman" w:hAnsi="Times New Roman" w:eastAsia="宋体" w:cs="Times New Roman"/>
                <w:sz w:val="18"/>
                <w:szCs w:val="18"/>
              </w:rPr>
            </w:pPr>
            <w:r>
              <w:rPr>
                <w:rFonts w:ascii="Times New Roman" w:hAnsi="Times New Roman" w:eastAsia="宋体" w:cs="Times New Roman"/>
                <w:sz w:val="18"/>
                <w:szCs w:val="18"/>
              </w:rPr>
              <w:t>R</w:t>
            </w:r>
            <w:r>
              <w:rPr>
                <w:rFonts w:ascii="Times New Roman" w:hAnsi="Times New Roman" w:eastAsia="宋体" w:cs="Times New Roman"/>
                <w:sz w:val="18"/>
                <w:szCs w:val="18"/>
                <w:vertAlign w:val="superscript"/>
              </w:rPr>
              <w:t>2</w:t>
            </w:r>
          </w:p>
        </w:tc>
        <w:tc>
          <w:tcPr>
            <w:tcW w:w="2291" w:type="dxa"/>
            <w:tcBorders>
              <w:top w:val="nil"/>
              <w:left w:val="nil"/>
              <w:bottom w:val="single" w:color="auto" w:sz="4" w:space="0"/>
              <w:right w:val="nil"/>
            </w:tcBorders>
            <w:vAlign w:val="center"/>
          </w:tcPr>
          <w:p w14:paraId="37EF4DB1">
            <w:pPr>
              <w:jc w:val="center"/>
              <w:rPr>
                <w:rFonts w:ascii="Times New Roman" w:hAnsi="Times New Roman" w:eastAsia="宋体" w:cs="Times New Roman"/>
                <w:sz w:val="18"/>
                <w:szCs w:val="18"/>
              </w:rPr>
            </w:pPr>
            <w:r>
              <w:rPr>
                <w:rFonts w:ascii="Times New Roman" w:hAnsi="Times New Roman" w:eastAsia="宋体" w:cs="Times New Roman"/>
                <w:sz w:val="18"/>
                <w:szCs w:val="18"/>
              </w:rPr>
              <w:t>0.9924</w:t>
            </w:r>
          </w:p>
        </w:tc>
        <w:tc>
          <w:tcPr>
            <w:tcW w:w="2291" w:type="dxa"/>
            <w:tcBorders>
              <w:top w:val="nil"/>
              <w:left w:val="nil"/>
              <w:bottom w:val="single" w:color="auto" w:sz="4" w:space="0"/>
              <w:right w:val="nil"/>
            </w:tcBorders>
            <w:vAlign w:val="center"/>
          </w:tcPr>
          <w:p w14:paraId="3DFD49E8">
            <w:pPr>
              <w:jc w:val="center"/>
              <w:rPr>
                <w:rFonts w:ascii="Times New Roman" w:hAnsi="Times New Roman" w:eastAsia="宋体" w:cs="Times New Roman"/>
                <w:sz w:val="18"/>
                <w:szCs w:val="18"/>
              </w:rPr>
            </w:pPr>
            <w:r>
              <w:rPr>
                <w:rFonts w:ascii="Times New Roman" w:hAnsi="Times New Roman" w:eastAsia="宋体" w:cs="Times New Roman"/>
                <w:sz w:val="18"/>
                <w:szCs w:val="18"/>
              </w:rPr>
              <w:t>0.6880</w:t>
            </w:r>
          </w:p>
        </w:tc>
        <w:tc>
          <w:tcPr>
            <w:tcW w:w="2293" w:type="dxa"/>
            <w:tcBorders>
              <w:top w:val="nil"/>
              <w:left w:val="nil"/>
              <w:bottom w:val="single" w:color="auto" w:sz="4" w:space="0"/>
              <w:right w:val="nil"/>
            </w:tcBorders>
            <w:vAlign w:val="center"/>
          </w:tcPr>
          <w:p w14:paraId="7B346966">
            <w:pPr>
              <w:jc w:val="center"/>
              <w:rPr>
                <w:rFonts w:ascii="Times New Roman" w:hAnsi="Times New Roman" w:eastAsia="宋体" w:cs="Times New Roman"/>
                <w:sz w:val="18"/>
                <w:szCs w:val="18"/>
              </w:rPr>
            </w:pPr>
            <w:r>
              <w:rPr>
                <w:rFonts w:ascii="Times New Roman" w:hAnsi="Times New Roman" w:eastAsia="宋体" w:cs="Times New Roman"/>
                <w:sz w:val="18"/>
                <w:szCs w:val="18"/>
              </w:rPr>
              <w:t>0.8560</w:t>
            </w:r>
          </w:p>
        </w:tc>
      </w:tr>
    </w:tbl>
    <w:p w14:paraId="0FAE79D0">
      <w:pPr>
        <w:rPr>
          <w:rFonts w:ascii="Times New Roman" w:hAnsi="Times New Roman" w:cs="Times New Roman"/>
          <w:szCs w:val="21"/>
        </w:rPr>
      </w:pPr>
      <w:r>
        <w:rPr>
          <w:rFonts w:ascii="Times New Roman" w:hAnsi="Times New Roman" w:cs="Times New Roman"/>
          <w:b/>
          <w:bCs/>
          <w:sz w:val="18"/>
          <w:szCs w:val="18"/>
        </w:rPr>
        <w:t>注</w:t>
      </w:r>
      <w:r>
        <w:rPr>
          <w:rFonts w:hint="eastAsia" w:ascii="Times New Roman" w:hAnsi="Times New Roman" w:cs="Times New Roman"/>
          <w:b/>
          <w:bCs/>
          <w:sz w:val="18"/>
          <w:szCs w:val="18"/>
        </w:rPr>
        <w:t>：</w:t>
      </w:r>
      <w:r>
        <w:rPr>
          <w:rFonts w:ascii="Times New Roman" w:hAnsi="Times New Roman" w:cs="Times New Roman"/>
          <w:b/>
          <w:bCs/>
          <w:sz w:val="18"/>
          <w:szCs w:val="18"/>
        </w:rPr>
        <w:t>括号中为t统计值；*、**、***分别表示显著性水平为10%，5%和1%</w:t>
      </w:r>
      <w:r>
        <w:rPr>
          <w:rFonts w:hint="eastAsia" w:ascii="Times New Roman" w:hAnsi="Times New Roman" w:cs="Times New Roman"/>
          <w:b/>
          <w:bCs/>
          <w:sz w:val="18"/>
          <w:szCs w:val="18"/>
        </w:rPr>
        <w:t>；</w:t>
      </w:r>
      <w:r>
        <w:rPr>
          <w:rFonts w:ascii="Times New Roman" w:hAnsi="Times New Roman" w:cs="Times New Roman"/>
          <w:b/>
          <w:bCs/>
          <w:sz w:val="18"/>
          <w:szCs w:val="18"/>
        </w:rPr>
        <w:t>tran_1表示农业从业人员/总从业人员；</w:t>
      </w:r>
      <w:r>
        <w:rPr>
          <w:rFonts w:ascii="Times New Roman" w:hAnsi="Times New Roman" w:eastAsia="宋体" w:cs="Times New Roman"/>
          <w:b/>
          <w:bCs/>
          <w:sz w:val="18"/>
          <w:szCs w:val="18"/>
        </w:rPr>
        <w:t>stru_1表示比较劳动生产率差异；stru_2表示二元反差系数</w:t>
      </w:r>
      <w:r>
        <w:rPr>
          <w:rFonts w:ascii="Times New Roman" w:hAnsi="Times New Roman" w:cs="Times New Roman"/>
          <w:b/>
          <w:bCs/>
          <w:sz w:val="18"/>
          <w:szCs w:val="18"/>
        </w:rPr>
        <w:t>。</w:t>
      </w:r>
    </w:p>
    <w:p w14:paraId="6B4F6710">
      <w:pPr>
        <w:spacing w:line="300" w:lineRule="auto"/>
        <w:rPr>
          <w:sz w:val="18"/>
          <w:szCs w:val="18"/>
        </w:rPr>
      </w:pPr>
    </w:p>
    <w:p w14:paraId="3FEEFA9A">
      <w:pPr>
        <w:spacing w:line="300" w:lineRule="auto"/>
        <w:ind w:firstLine="422" w:firstLineChars="200"/>
        <w:rPr>
          <w:b/>
          <w:bCs/>
        </w:rPr>
      </w:pPr>
      <w:r>
        <w:rPr>
          <w:rFonts w:hint="eastAsia"/>
          <w:b/>
          <w:bCs/>
        </w:rPr>
        <w:t>（四）异质性分析</w:t>
      </w:r>
    </w:p>
    <w:p w14:paraId="5E7DA4BD">
      <w:pPr>
        <w:spacing w:line="300" w:lineRule="auto"/>
        <w:ind w:firstLine="420" w:firstLineChars="200"/>
        <w:rPr>
          <w:rFonts w:ascii="Times New Roman" w:hAnsi="Times New Roman" w:cs="Times New Roman"/>
        </w:rPr>
      </w:pPr>
      <w:r>
        <w:rPr>
          <w:rFonts w:hint="eastAsia"/>
        </w:rPr>
        <w:t>考虑到各省农业生产规模的差异性，根据中国对粮食主产区的划分标准，</w:t>
      </w:r>
      <w:r>
        <w:rPr>
          <w:rFonts w:ascii="Times New Roman" w:hAnsi="Times New Roman" w:cs="Times New Roman"/>
        </w:rPr>
        <w:t>将30个</w:t>
      </w:r>
      <w:r>
        <w:rPr>
          <w:rFonts w:hint="eastAsia"/>
        </w:rPr>
        <w:t>省份分为粮食主产区和非粮食主产区，分别对粮食主产区和非粮食主产区样本进行估</w:t>
      </w:r>
      <w:r>
        <w:rPr>
          <w:rFonts w:hint="eastAsia" w:ascii="Times New Roman" w:hAnsi="Times New Roman" w:cs="Times New Roman"/>
        </w:rPr>
        <w:t>计，并分别检验劳动力转移对农业现代化的中介效应</w:t>
      </w:r>
      <w:r>
        <w:rPr>
          <w:rFonts w:hint="eastAsia" w:ascii="Times New Roman" w:hAnsi="Times New Roman" w:cs="Times New Roman"/>
          <w:lang w:eastAsia="zh-CN"/>
        </w:rPr>
        <w:t>，</w:t>
      </w:r>
      <w:r>
        <w:rPr>
          <w:rFonts w:hint="eastAsia" w:ascii="Times New Roman" w:hAnsi="Times New Roman" w:cs="Times New Roman"/>
        </w:rPr>
        <w:t>见表6。由回归（12）与（15）可知，粮食主产区与非粮食主产区的农业现代化、劳动力转移均对二元经济结构优化有显著促进作用，这一结果也进一步验证了前文基准回归结果的稳健性。粮食主产区的中介效应检验结果见回归（13）（14）（15），结果显示，由于系数c不显著，说明粮食主产区的劳动力转移对农业现代化不存在中介效应，即粮食主产区的农业现代化直接作用于二元经济结构。由非粮食主产区的中介效应检验结果回归（10）（11）及（12）可知，待估参数b、c、d、b</w:t>
      </w:r>
      <w:r>
        <w:rPr>
          <w:rFonts w:ascii="Times New Roman" w:hAnsi="Times New Roman" w:cs="Times New Roman"/>
        </w:rPr>
        <w:t>'</w:t>
      </w:r>
      <w:r>
        <w:rPr>
          <w:rFonts w:hint="eastAsia" w:ascii="Times New Roman" w:hAnsi="Times New Roman" w:cs="Times New Roman"/>
        </w:rPr>
        <w:t>均显著，且cd与b</w:t>
      </w:r>
      <w:r>
        <w:rPr>
          <w:rFonts w:ascii="Times New Roman" w:hAnsi="Times New Roman" w:cs="Times New Roman"/>
        </w:rPr>
        <w:t>'</w:t>
      </w:r>
      <w:r>
        <w:rPr>
          <w:rFonts w:hint="eastAsia" w:ascii="Times New Roman" w:hAnsi="Times New Roman" w:cs="Times New Roman"/>
        </w:rPr>
        <w:t>同号，说明非粮食产区的劳动力转移对农业现代化存在部分中介效应。对以上估计结果的解释是：粮食主产区农业较为发达，农业生产从业人员较多，农业现代化发展一方面有利于释放更多剩余劳动力，另一方面农业的规模化发展增加了农业劳动力收入，吸引更多劳动力留在家乡从事农业生产，粮食主产区的劳动力转移之所以没有发挥中介作用，可能是“释放”和“吸引”两股力量较量的结果，当“吸引”大于“释放”时，粮食主产区的劳动力会出现滞留或回流现象。非粮食主产区因受地形、气候等各方面因素制约，农业较为落后，机械化、规模化发展较为困难，一旦农业生产技术有所改进，便会释放更多剩余劳动力，但由于农业发展落后，即使农业生产技术有所改进，也较难吸引剩余劳动力滞留或回流。</w:t>
      </w:r>
    </w:p>
    <w:p w14:paraId="7A4BE84A">
      <w:pPr>
        <w:spacing w:line="300" w:lineRule="auto"/>
        <w:jc w:val="center"/>
        <w:rPr>
          <w:rFonts w:ascii="Times New Roman" w:hAnsi="Times New Roman" w:cs="Times New Roman"/>
        </w:rPr>
      </w:pPr>
      <w:r>
        <w:rPr>
          <w:rFonts w:ascii="Times New Roman" w:hAnsi="Times New Roman" w:cs="Times New Roman"/>
          <w:b/>
          <w:bCs/>
          <w:kern w:val="0"/>
          <w:sz w:val="18"/>
          <w:szCs w:val="18"/>
        </w:rPr>
        <w:t>表6   粮食主产区与非粮食主产区基准回归及中介效应检验</w:t>
      </w:r>
    </w:p>
    <w:tbl>
      <w:tblPr>
        <w:tblStyle w:val="10"/>
        <w:tblW w:w="8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231"/>
        <w:gridCol w:w="1231"/>
        <w:gridCol w:w="1231"/>
        <w:gridCol w:w="11"/>
        <w:gridCol w:w="1220"/>
        <w:gridCol w:w="1231"/>
        <w:gridCol w:w="1231"/>
        <w:gridCol w:w="23"/>
      </w:tblGrid>
      <w:tr w14:paraId="20998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970" w:type="dxa"/>
            <w:tcBorders>
              <w:left w:val="nil"/>
              <w:right w:val="nil"/>
            </w:tcBorders>
            <w:vAlign w:val="center"/>
          </w:tcPr>
          <w:p w14:paraId="1A1575BE">
            <w:pPr>
              <w:jc w:val="center"/>
              <w:rPr>
                <w:rFonts w:ascii="Times New Roman" w:hAnsi="Times New Roman" w:eastAsia="宋体" w:cs="Times New Roman"/>
                <w:sz w:val="18"/>
                <w:szCs w:val="18"/>
              </w:rPr>
            </w:pPr>
          </w:p>
        </w:tc>
        <w:tc>
          <w:tcPr>
            <w:tcW w:w="3704" w:type="dxa"/>
            <w:gridSpan w:val="4"/>
            <w:tcBorders>
              <w:left w:val="nil"/>
              <w:bottom w:val="single" w:color="auto" w:sz="4" w:space="0"/>
              <w:right w:val="nil"/>
            </w:tcBorders>
            <w:vAlign w:val="center"/>
          </w:tcPr>
          <w:p w14:paraId="01864DCA">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非粮食主产区</w:t>
            </w:r>
          </w:p>
        </w:tc>
        <w:tc>
          <w:tcPr>
            <w:tcW w:w="3705" w:type="dxa"/>
            <w:gridSpan w:val="4"/>
            <w:tcBorders>
              <w:left w:val="nil"/>
              <w:bottom w:val="single" w:color="auto" w:sz="4" w:space="0"/>
              <w:right w:val="nil"/>
            </w:tcBorders>
            <w:vAlign w:val="center"/>
          </w:tcPr>
          <w:p w14:paraId="64015809">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粮食主产区</w:t>
            </w:r>
          </w:p>
        </w:tc>
      </w:tr>
      <w:tr w14:paraId="181B8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12" w:hRule="atLeast"/>
          <w:jc w:val="center"/>
        </w:trPr>
        <w:tc>
          <w:tcPr>
            <w:tcW w:w="970" w:type="dxa"/>
            <w:vMerge w:val="restart"/>
            <w:tcBorders>
              <w:left w:val="nil"/>
              <w:right w:val="nil"/>
            </w:tcBorders>
            <w:vAlign w:val="center"/>
          </w:tcPr>
          <w:p w14:paraId="55A2F88B">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变量</w:t>
            </w:r>
          </w:p>
        </w:tc>
        <w:tc>
          <w:tcPr>
            <w:tcW w:w="1231" w:type="dxa"/>
            <w:tcBorders>
              <w:top w:val="nil"/>
              <w:left w:val="nil"/>
              <w:bottom w:val="nil"/>
              <w:right w:val="nil"/>
            </w:tcBorders>
            <w:vAlign w:val="center"/>
          </w:tcPr>
          <w:p w14:paraId="450BCAA5">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（10）</w:t>
            </w:r>
          </w:p>
        </w:tc>
        <w:tc>
          <w:tcPr>
            <w:tcW w:w="1231" w:type="dxa"/>
            <w:tcBorders>
              <w:top w:val="nil"/>
              <w:left w:val="nil"/>
              <w:bottom w:val="nil"/>
              <w:right w:val="nil"/>
            </w:tcBorders>
            <w:vAlign w:val="center"/>
          </w:tcPr>
          <w:p w14:paraId="4A7783B2">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（11）</w:t>
            </w:r>
          </w:p>
        </w:tc>
        <w:tc>
          <w:tcPr>
            <w:tcW w:w="1231" w:type="dxa"/>
            <w:tcBorders>
              <w:top w:val="nil"/>
              <w:left w:val="nil"/>
              <w:bottom w:val="nil"/>
              <w:right w:val="nil"/>
            </w:tcBorders>
            <w:vAlign w:val="center"/>
          </w:tcPr>
          <w:p w14:paraId="0073114D">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（12）</w:t>
            </w:r>
          </w:p>
        </w:tc>
        <w:tc>
          <w:tcPr>
            <w:tcW w:w="1231" w:type="dxa"/>
            <w:gridSpan w:val="2"/>
            <w:tcBorders>
              <w:top w:val="nil"/>
              <w:left w:val="nil"/>
              <w:bottom w:val="nil"/>
              <w:right w:val="nil"/>
            </w:tcBorders>
            <w:vAlign w:val="center"/>
          </w:tcPr>
          <w:p w14:paraId="28F20FAD">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（13）</w:t>
            </w:r>
          </w:p>
        </w:tc>
        <w:tc>
          <w:tcPr>
            <w:tcW w:w="1231" w:type="dxa"/>
            <w:tcBorders>
              <w:top w:val="nil"/>
              <w:left w:val="nil"/>
              <w:bottom w:val="nil"/>
              <w:right w:val="nil"/>
            </w:tcBorders>
            <w:vAlign w:val="center"/>
          </w:tcPr>
          <w:p w14:paraId="1EE88959">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（14）</w:t>
            </w:r>
          </w:p>
        </w:tc>
        <w:tc>
          <w:tcPr>
            <w:tcW w:w="1231" w:type="dxa"/>
            <w:tcBorders>
              <w:top w:val="nil"/>
              <w:left w:val="nil"/>
              <w:bottom w:val="nil"/>
              <w:right w:val="nil"/>
            </w:tcBorders>
            <w:vAlign w:val="center"/>
          </w:tcPr>
          <w:p w14:paraId="5F9987F5">
            <w:pPr>
              <w:jc w:val="center"/>
              <w:rPr>
                <w:rFonts w:ascii="Times New Roman" w:hAnsi="Times New Roman" w:eastAsia="宋体" w:cs="Times New Roman"/>
                <w:b/>
                <w:bCs/>
                <w:sz w:val="18"/>
                <w:szCs w:val="18"/>
              </w:rPr>
            </w:pPr>
            <w:r>
              <w:rPr>
                <w:rFonts w:ascii="Times New Roman" w:hAnsi="Times New Roman" w:eastAsia="宋体" w:cs="Times New Roman"/>
                <w:b/>
                <w:bCs/>
                <w:sz w:val="18"/>
                <w:szCs w:val="18"/>
              </w:rPr>
              <w:t>（15）</w:t>
            </w:r>
          </w:p>
        </w:tc>
      </w:tr>
      <w:tr w14:paraId="46C5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12" w:hRule="atLeast"/>
          <w:jc w:val="center"/>
        </w:trPr>
        <w:tc>
          <w:tcPr>
            <w:tcW w:w="970" w:type="dxa"/>
            <w:vMerge w:val="continue"/>
            <w:tcBorders>
              <w:left w:val="nil"/>
              <w:bottom w:val="single" w:color="auto" w:sz="4" w:space="0"/>
              <w:right w:val="nil"/>
            </w:tcBorders>
            <w:vAlign w:val="center"/>
          </w:tcPr>
          <w:p w14:paraId="7CBC1D3A">
            <w:pPr>
              <w:jc w:val="center"/>
              <w:rPr>
                <w:rFonts w:ascii="Times New Roman" w:hAnsi="Times New Roman" w:eastAsia="宋体" w:cs="Times New Roman"/>
                <w:sz w:val="18"/>
                <w:szCs w:val="18"/>
              </w:rPr>
            </w:pPr>
          </w:p>
        </w:tc>
        <w:tc>
          <w:tcPr>
            <w:tcW w:w="1231" w:type="dxa"/>
            <w:tcBorders>
              <w:top w:val="nil"/>
              <w:left w:val="nil"/>
              <w:bottom w:val="single" w:color="auto" w:sz="4" w:space="0"/>
              <w:right w:val="nil"/>
            </w:tcBorders>
            <w:vAlign w:val="center"/>
          </w:tcPr>
          <w:p w14:paraId="6713965B">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stru</w:t>
            </w:r>
          </w:p>
        </w:tc>
        <w:tc>
          <w:tcPr>
            <w:tcW w:w="1231" w:type="dxa"/>
            <w:tcBorders>
              <w:top w:val="nil"/>
              <w:left w:val="nil"/>
              <w:bottom w:val="single" w:color="auto" w:sz="4" w:space="0"/>
              <w:right w:val="nil"/>
            </w:tcBorders>
            <w:vAlign w:val="center"/>
          </w:tcPr>
          <w:p w14:paraId="36BE4BD5">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tran</w:t>
            </w:r>
          </w:p>
        </w:tc>
        <w:tc>
          <w:tcPr>
            <w:tcW w:w="1231" w:type="dxa"/>
            <w:tcBorders>
              <w:top w:val="nil"/>
              <w:left w:val="nil"/>
              <w:bottom w:val="single" w:color="auto" w:sz="4" w:space="0"/>
              <w:right w:val="nil"/>
            </w:tcBorders>
            <w:vAlign w:val="center"/>
          </w:tcPr>
          <w:p w14:paraId="5A64B15D">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stru</w:t>
            </w:r>
          </w:p>
        </w:tc>
        <w:tc>
          <w:tcPr>
            <w:tcW w:w="1231" w:type="dxa"/>
            <w:gridSpan w:val="2"/>
            <w:tcBorders>
              <w:top w:val="nil"/>
              <w:left w:val="nil"/>
              <w:bottom w:val="single" w:color="auto" w:sz="4" w:space="0"/>
              <w:right w:val="nil"/>
            </w:tcBorders>
            <w:vAlign w:val="center"/>
          </w:tcPr>
          <w:p w14:paraId="2AA32E8F">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stru</w:t>
            </w:r>
          </w:p>
        </w:tc>
        <w:tc>
          <w:tcPr>
            <w:tcW w:w="1231" w:type="dxa"/>
            <w:tcBorders>
              <w:top w:val="nil"/>
              <w:left w:val="nil"/>
              <w:bottom w:val="single" w:color="auto" w:sz="4" w:space="0"/>
              <w:right w:val="nil"/>
            </w:tcBorders>
            <w:vAlign w:val="center"/>
          </w:tcPr>
          <w:p w14:paraId="7428AC21">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tran</w:t>
            </w:r>
          </w:p>
        </w:tc>
        <w:tc>
          <w:tcPr>
            <w:tcW w:w="1231" w:type="dxa"/>
            <w:tcBorders>
              <w:top w:val="nil"/>
              <w:left w:val="nil"/>
              <w:bottom w:val="single" w:color="auto" w:sz="4" w:space="0"/>
              <w:right w:val="nil"/>
            </w:tcBorders>
            <w:vAlign w:val="center"/>
          </w:tcPr>
          <w:p w14:paraId="3AF3E1CB">
            <w:pPr>
              <w:jc w:val="center"/>
              <w:rPr>
                <w:rFonts w:ascii="Times New Roman" w:hAnsi="Times New Roman" w:eastAsia="宋体" w:cs="Times New Roman"/>
                <w:sz w:val="18"/>
                <w:szCs w:val="18"/>
              </w:rPr>
            </w:pPr>
            <w:r>
              <w:rPr>
                <w:rFonts w:ascii="Times New Roman" w:hAnsi="Times New Roman" w:eastAsia="宋体" w:cs="Times New Roman"/>
                <w:b/>
                <w:bCs/>
                <w:sz w:val="18"/>
                <w:szCs w:val="18"/>
              </w:rPr>
              <w:t>stru</w:t>
            </w:r>
          </w:p>
        </w:tc>
      </w:tr>
      <w:tr w14:paraId="151D1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587" w:hRule="atLeast"/>
          <w:jc w:val="center"/>
        </w:trPr>
        <w:tc>
          <w:tcPr>
            <w:tcW w:w="970" w:type="dxa"/>
            <w:tcBorders>
              <w:top w:val="single" w:color="auto" w:sz="4" w:space="0"/>
              <w:left w:val="nil"/>
              <w:bottom w:val="nil"/>
              <w:right w:val="nil"/>
            </w:tcBorders>
            <w:vAlign w:val="center"/>
          </w:tcPr>
          <w:p w14:paraId="47DBC30B">
            <w:pPr>
              <w:jc w:val="center"/>
              <w:rPr>
                <w:rFonts w:ascii="Times New Roman" w:hAnsi="Times New Roman" w:eastAsia="宋体" w:cs="Times New Roman"/>
                <w:sz w:val="18"/>
                <w:szCs w:val="18"/>
              </w:rPr>
            </w:pPr>
            <w:r>
              <w:rPr>
                <w:rFonts w:ascii="Times New Roman" w:hAnsi="Times New Roman" w:eastAsia="宋体" w:cs="Times New Roman"/>
                <w:sz w:val="18"/>
                <w:szCs w:val="18"/>
              </w:rPr>
              <w:t>agr</w:t>
            </w:r>
          </w:p>
        </w:tc>
        <w:tc>
          <w:tcPr>
            <w:tcW w:w="1231" w:type="dxa"/>
            <w:tcBorders>
              <w:top w:val="single" w:color="auto" w:sz="4" w:space="0"/>
              <w:left w:val="nil"/>
              <w:bottom w:val="nil"/>
              <w:right w:val="nil"/>
            </w:tcBorders>
            <w:vAlign w:val="center"/>
          </w:tcPr>
          <w:p w14:paraId="0205D275">
            <w:pPr>
              <w:jc w:val="center"/>
              <w:rPr>
                <w:rFonts w:ascii="Times New Roman" w:hAnsi="Times New Roman" w:eastAsia="宋体" w:cs="Times New Roman"/>
                <w:sz w:val="18"/>
                <w:szCs w:val="18"/>
              </w:rPr>
            </w:pPr>
            <w:r>
              <w:rPr>
                <w:rFonts w:ascii="Times New Roman" w:hAnsi="Times New Roman" w:eastAsia="宋体" w:cs="Times New Roman"/>
                <w:sz w:val="18"/>
                <w:szCs w:val="18"/>
              </w:rPr>
              <w:t>1.0658***（65.85）</w:t>
            </w:r>
          </w:p>
        </w:tc>
        <w:tc>
          <w:tcPr>
            <w:tcW w:w="1231" w:type="dxa"/>
            <w:tcBorders>
              <w:top w:val="single" w:color="auto" w:sz="4" w:space="0"/>
              <w:left w:val="nil"/>
              <w:bottom w:val="nil"/>
              <w:right w:val="nil"/>
            </w:tcBorders>
            <w:vAlign w:val="center"/>
          </w:tcPr>
          <w:p w14:paraId="06FAB2BC">
            <w:pPr>
              <w:jc w:val="center"/>
              <w:rPr>
                <w:rFonts w:ascii="Times New Roman" w:hAnsi="Times New Roman" w:eastAsia="宋体" w:cs="Times New Roman"/>
                <w:sz w:val="18"/>
                <w:szCs w:val="18"/>
              </w:rPr>
            </w:pPr>
            <w:r>
              <w:rPr>
                <w:rFonts w:ascii="Times New Roman" w:hAnsi="Times New Roman" w:eastAsia="宋体" w:cs="Times New Roman"/>
                <w:sz w:val="18"/>
                <w:szCs w:val="18"/>
              </w:rPr>
              <w:t>6.7315**（2.40）</w:t>
            </w:r>
          </w:p>
        </w:tc>
        <w:tc>
          <w:tcPr>
            <w:tcW w:w="1231" w:type="dxa"/>
            <w:tcBorders>
              <w:top w:val="single" w:color="auto" w:sz="4" w:space="0"/>
              <w:left w:val="nil"/>
              <w:bottom w:val="nil"/>
              <w:right w:val="nil"/>
            </w:tcBorders>
            <w:vAlign w:val="center"/>
          </w:tcPr>
          <w:p w14:paraId="103555AB">
            <w:pPr>
              <w:jc w:val="center"/>
              <w:rPr>
                <w:rFonts w:ascii="Times New Roman" w:hAnsi="Times New Roman" w:eastAsia="宋体" w:cs="Times New Roman"/>
                <w:sz w:val="18"/>
                <w:szCs w:val="18"/>
              </w:rPr>
            </w:pPr>
            <w:r>
              <w:rPr>
                <w:rFonts w:ascii="Times New Roman" w:hAnsi="Times New Roman" w:eastAsia="宋体" w:cs="Times New Roman"/>
                <w:sz w:val="18"/>
                <w:szCs w:val="18"/>
              </w:rPr>
              <w:t>1.0566***</w:t>
            </w:r>
          </w:p>
          <w:p w14:paraId="73F98772">
            <w:pPr>
              <w:jc w:val="center"/>
              <w:rPr>
                <w:rFonts w:ascii="Times New Roman" w:hAnsi="Times New Roman" w:eastAsia="宋体" w:cs="Times New Roman"/>
                <w:sz w:val="18"/>
                <w:szCs w:val="18"/>
              </w:rPr>
            </w:pPr>
            <w:r>
              <w:rPr>
                <w:rFonts w:ascii="Times New Roman" w:hAnsi="Times New Roman" w:eastAsia="宋体" w:cs="Times New Roman"/>
                <w:sz w:val="18"/>
                <w:szCs w:val="18"/>
              </w:rPr>
              <w:t>（63.75）</w:t>
            </w:r>
          </w:p>
        </w:tc>
        <w:tc>
          <w:tcPr>
            <w:tcW w:w="1231" w:type="dxa"/>
            <w:gridSpan w:val="2"/>
            <w:tcBorders>
              <w:top w:val="single" w:color="auto" w:sz="4" w:space="0"/>
              <w:left w:val="nil"/>
              <w:bottom w:val="nil"/>
              <w:right w:val="nil"/>
            </w:tcBorders>
            <w:vAlign w:val="center"/>
          </w:tcPr>
          <w:p w14:paraId="44B462D2">
            <w:pPr>
              <w:jc w:val="center"/>
              <w:rPr>
                <w:rFonts w:ascii="Times New Roman" w:hAnsi="Times New Roman" w:eastAsia="宋体" w:cs="Times New Roman"/>
                <w:sz w:val="18"/>
                <w:szCs w:val="18"/>
              </w:rPr>
            </w:pPr>
            <w:r>
              <w:rPr>
                <w:rFonts w:ascii="Times New Roman" w:hAnsi="Times New Roman" w:eastAsia="宋体" w:cs="Times New Roman"/>
                <w:sz w:val="18"/>
                <w:szCs w:val="18"/>
              </w:rPr>
              <w:t>1.0991***（35.47）</w:t>
            </w:r>
          </w:p>
        </w:tc>
        <w:tc>
          <w:tcPr>
            <w:tcW w:w="1231" w:type="dxa"/>
            <w:tcBorders>
              <w:top w:val="single" w:color="auto" w:sz="4" w:space="0"/>
              <w:left w:val="nil"/>
              <w:bottom w:val="nil"/>
              <w:right w:val="nil"/>
            </w:tcBorders>
            <w:vAlign w:val="center"/>
          </w:tcPr>
          <w:p w14:paraId="59FAA5BA">
            <w:pPr>
              <w:jc w:val="center"/>
              <w:rPr>
                <w:rFonts w:ascii="Times New Roman" w:hAnsi="Times New Roman" w:eastAsia="宋体" w:cs="Times New Roman"/>
                <w:sz w:val="18"/>
                <w:szCs w:val="18"/>
              </w:rPr>
            </w:pPr>
            <w:r>
              <w:rPr>
                <w:rFonts w:ascii="Times New Roman" w:hAnsi="Times New Roman" w:eastAsia="宋体" w:cs="Times New Roman"/>
                <w:sz w:val="18"/>
                <w:szCs w:val="18"/>
              </w:rPr>
              <w:t>8.9364</w:t>
            </w:r>
          </w:p>
          <w:p w14:paraId="181C800B">
            <w:pPr>
              <w:jc w:val="center"/>
              <w:rPr>
                <w:rFonts w:ascii="Times New Roman" w:hAnsi="Times New Roman" w:eastAsia="宋体" w:cs="Times New Roman"/>
                <w:sz w:val="18"/>
                <w:szCs w:val="18"/>
              </w:rPr>
            </w:pPr>
            <w:r>
              <w:rPr>
                <w:rFonts w:ascii="Times New Roman" w:hAnsi="Times New Roman" w:eastAsia="宋体" w:cs="Times New Roman"/>
                <w:sz w:val="18"/>
                <w:szCs w:val="18"/>
              </w:rPr>
              <w:t>（1.31）</w:t>
            </w:r>
          </w:p>
        </w:tc>
        <w:tc>
          <w:tcPr>
            <w:tcW w:w="1231" w:type="dxa"/>
            <w:tcBorders>
              <w:top w:val="single" w:color="auto" w:sz="4" w:space="0"/>
              <w:left w:val="nil"/>
              <w:bottom w:val="nil"/>
              <w:right w:val="nil"/>
            </w:tcBorders>
            <w:vAlign w:val="center"/>
          </w:tcPr>
          <w:p w14:paraId="60F4986E">
            <w:pPr>
              <w:jc w:val="center"/>
              <w:rPr>
                <w:rFonts w:ascii="Times New Roman" w:hAnsi="Times New Roman" w:eastAsia="宋体" w:cs="Times New Roman"/>
                <w:sz w:val="18"/>
                <w:szCs w:val="18"/>
              </w:rPr>
            </w:pPr>
            <w:r>
              <w:rPr>
                <w:rFonts w:ascii="Times New Roman" w:hAnsi="Times New Roman" w:eastAsia="宋体" w:cs="Times New Roman"/>
                <w:sz w:val="18"/>
                <w:szCs w:val="18"/>
              </w:rPr>
              <w:t>1.0932***</w:t>
            </w:r>
          </w:p>
          <w:p w14:paraId="35BE1104">
            <w:pPr>
              <w:jc w:val="center"/>
              <w:rPr>
                <w:rFonts w:ascii="Times New Roman" w:hAnsi="Times New Roman" w:eastAsia="宋体" w:cs="Times New Roman"/>
                <w:sz w:val="18"/>
                <w:szCs w:val="18"/>
              </w:rPr>
            </w:pPr>
            <w:r>
              <w:rPr>
                <w:rFonts w:ascii="Times New Roman" w:hAnsi="Times New Roman" w:eastAsia="宋体" w:cs="Times New Roman"/>
                <w:sz w:val="18"/>
                <w:szCs w:val="18"/>
              </w:rPr>
              <w:t>（33.94）</w:t>
            </w:r>
          </w:p>
        </w:tc>
      </w:tr>
      <w:tr w14:paraId="49D55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587" w:hRule="atLeast"/>
          <w:jc w:val="center"/>
        </w:trPr>
        <w:tc>
          <w:tcPr>
            <w:tcW w:w="970" w:type="dxa"/>
            <w:tcBorders>
              <w:top w:val="nil"/>
              <w:left w:val="nil"/>
              <w:bottom w:val="nil"/>
              <w:right w:val="nil"/>
            </w:tcBorders>
            <w:vAlign w:val="center"/>
          </w:tcPr>
          <w:p w14:paraId="6844C1E4">
            <w:pPr>
              <w:jc w:val="center"/>
              <w:rPr>
                <w:rFonts w:ascii="Times New Roman" w:hAnsi="Times New Roman" w:eastAsia="宋体" w:cs="Times New Roman"/>
                <w:sz w:val="18"/>
                <w:szCs w:val="18"/>
              </w:rPr>
            </w:pPr>
            <w:r>
              <w:rPr>
                <w:rFonts w:ascii="Times New Roman" w:hAnsi="Times New Roman" w:eastAsia="宋体" w:cs="Times New Roman"/>
                <w:sz w:val="18"/>
                <w:szCs w:val="18"/>
              </w:rPr>
              <w:t>tran</w:t>
            </w:r>
          </w:p>
        </w:tc>
        <w:tc>
          <w:tcPr>
            <w:tcW w:w="1231" w:type="dxa"/>
            <w:tcBorders>
              <w:top w:val="nil"/>
              <w:left w:val="nil"/>
              <w:bottom w:val="nil"/>
              <w:right w:val="nil"/>
            </w:tcBorders>
            <w:vAlign w:val="center"/>
          </w:tcPr>
          <w:p w14:paraId="0572DD6D">
            <w:pPr>
              <w:jc w:val="center"/>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1231" w:type="dxa"/>
            <w:tcBorders>
              <w:top w:val="nil"/>
              <w:left w:val="nil"/>
              <w:bottom w:val="nil"/>
              <w:right w:val="nil"/>
            </w:tcBorders>
            <w:vAlign w:val="center"/>
          </w:tcPr>
          <w:p w14:paraId="0B08F71B">
            <w:pPr>
              <w:jc w:val="center"/>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1231" w:type="dxa"/>
            <w:tcBorders>
              <w:top w:val="nil"/>
              <w:left w:val="nil"/>
              <w:bottom w:val="nil"/>
              <w:right w:val="nil"/>
            </w:tcBorders>
            <w:vAlign w:val="center"/>
          </w:tcPr>
          <w:p w14:paraId="28969484">
            <w:pPr>
              <w:jc w:val="center"/>
              <w:rPr>
                <w:rFonts w:ascii="Times New Roman" w:hAnsi="Times New Roman" w:eastAsia="宋体" w:cs="Times New Roman"/>
                <w:sz w:val="18"/>
                <w:szCs w:val="18"/>
              </w:rPr>
            </w:pPr>
            <w:r>
              <w:rPr>
                <w:rFonts w:ascii="Times New Roman" w:hAnsi="Times New Roman" w:eastAsia="宋体" w:cs="Times New Roman"/>
                <w:sz w:val="18"/>
                <w:szCs w:val="18"/>
              </w:rPr>
              <w:t>0.0014**（2.26）</w:t>
            </w:r>
          </w:p>
        </w:tc>
        <w:tc>
          <w:tcPr>
            <w:tcW w:w="1231" w:type="dxa"/>
            <w:gridSpan w:val="2"/>
            <w:tcBorders>
              <w:top w:val="nil"/>
              <w:left w:val="nil"/>
              <w:bottom w:val="nil"/>
              <w:right w:val="nil"/>
            </w:tcBorders>
            <w:vAlign w:val="center"/>
          </w:tcPr>
          <w:p w14:paraId="12950D87">
            <w:pPr>
              <w:jc w:val="center"/>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1231" w:type="dxa"/>
            <w:tcBorders>
              <w:top w:val="nil"/>
              <w:left w:val="nil"/>
              <w:bottom w:val="nil"/>
              <w:right w:val="nil"/>
            </w:tcBorders>
            <w:vAlign w:val="center"/>
          </w:tcPr>
          <w:p w14:paraId="3D433C92">
            <w:pPr>
              <w:jc w:val="center"/>
              <w:rPr>
                <w:rFonts w:ascii="Times New Roman" w:hAnsi="Times New Roman" w:eastAsia="宋体" w:cs="Times New Roman"/>
                <w:sz w:val="18"/>
                <w:szCs w:val="18"/>
              </w:rPr>
            </w:pPr>
            <w:r>
              <w:rPr>
                <w:rFonts w:ascii="Times New Roman" w:hAnsi="Times New Roman" w:eastAsia="宋体" w:cs="Times New Roman"/>
                <w:sz w:val="18"/>
                <w:szCs w:val="18"/>
              </w:rPr>
              <w:t>—</w:t>
            </w:r>
          </w:p>
        </w:tc>
        <w:tc>
          <w:tcPr>
            <w:tcW w:w="1231" w:type="dxa"/>
            <w:tcBorders>
              <w:top w:val="nil"/>
              <w:left w:val="nil"/>
              <w:bottom w:val="nil"/>
              <w:right w:val="nil"/>
            </w:tcBorders>
            <w:vAlign w:val="center"/>
          </w:tcPr>
          <w:p w14:paraId="3760E3A1">
            <w:pPr>
              <w:jc w:val="center"/>
              <w:rPr>
                <w:rFonts w:ascii="Times New Roman" w:hAnsi="Times New Roman" w:eastAsia="宋体" w:cs="Times New Roman"/>
                <w:sz w:val="18"/>
                <w:szCs w:val="18"/>
              </w:rPr>
            </w:pPr>
            <w:r>
              <w:rPr>
                <w:rFonts w:ascii="Times New Roman" w:hAnsi="Times New Roman" w:eastAsia="宋体" w:cs="Times New Roman"/>
                <w:sz w:val="18"/>
                <w:szCs w:val="18"/>
              </w:rPr>
              <w:t>0.0007***（4.62</w:t>
            </w:r>
            <w:r>
              <w:rPr>
                <w:rFonts w:ascii="Times New Roman" w:hAnsi="Times New Roman" w:cs="Times New Roman"/>
                <w:sz w:val="18"/>
                <w:szCs w:val="18"/>
              </w:rPr>
              <w:t>00</w:t>
            </w:r>
            <w:r>
              <w:rPr>
                <w:rFonts w:ascii="Times New Roman" w:hAnsi="Times New Roman" w:eastAsia="宋体" w:cs="Times New Roman"/>
                <w:sz w:val="18"/>
                <w:szCs w:val="18"/>
              </w:rPr>
              <w:t>）</w:t>
            </w:r>
          </w:p>
        </w:tc>
      </w:tr>
      <w:tr w14:paraId="3E395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23" w:hRule="atLeast"/>
          <w:jc w:val="center"/>
        </w:trPr>
        <w:tc>
          <w:tcPr>
            <w:tcW w:w="970" w:type="dxa"/>
            <w:tcBorders>
              <w:top w:val="nil"/>
              <w:left w:val="nil"/>
              <w:bottom w:val="nil"/>
              <w:right w:val="nil"/>
            </w:tcBorders>
            <w:vAlign w:val="center"/>
          </w:tcPr>
          <w:p w14:paraId="4EC003CE">
            <w:pPr>
              <w:jc w:val="center"/>
              <w:rPr>
                <w:rFonts w:ascii="Times New Roman" w:hAnsi="Times New Roman" w:eastAsia="宋体" w:cs="Times New Roman"/>
                <w:sz w:val="18"/>
                <w:szCs w:val="18"/>
              </w:rPr>
            </w:pPr>
            <w:r>
              <w:rPr>
                <w:rFonts w:ascii="Times New Roman" w:hAnsi="Times New Roman" w:cs="Times New Roman"/>
                <w:sz w:val="18"/>
                <w:szCs w:val="18"/>
              </w:rPr>
              <w:t>_cons</w:t>
            </w:r>
          </w:p>
        </w:tc>
        <w:tc>
          <w:tcPr>
            <w:tcW w:w="1231" w:type="dxa"/>
            <w:tcBorders>
              <w:top w:val="nil"/>
              <w:left w:val="nil"/>
              <w:bottom w:val="nil"/>
              <w:right w:val="nil"/>
            </w:tcBorders>
            <w:vAlign w:val="center"/>
          </w:tcPr>
          <w:p w14:paraId="678369F9">
            <w:pPr>
              <w:jc w:val="center"/>
              <w:rPr>
                <w:rFonts w:ascii="Times New Roman" w:hAnsi="Times New Roman" w:eastAsia="宋体" w:cs="Times New Roman"/>
                <w:sz w:val="18"/>
                <w:szCs w:val="18"/>
              </w:rPr>
            </w:pPr>
            <w:r>
              <w:rPr>
                <w:rFonts w:ascii="Times New Roman" w:hAnsi="Times New Roman" w:eastAsia="宋体" w:cs="Times New Roman"/>
                <w:sz w:val="18"/>
                <w:szCs w:val="18"/>
              </w:rPr>
              <w:t>-0.7659***（-16.60）</w:t>
            </w:r>
          </w:p>
        </w:tc>
        <w:tc>
          <w:tcPr>
            <w:tcW w:w="1231" w:type="dxa"/>
            <w:tcBorders>
              <w:top w:val="nil"/>
              <w:left w:val="nil"/>
              <w:bottom w:val="nil"/>
              <w:right w:val="nil"/>
            </w:tcBorders>
            <w:vAlign w:val="center"/>
          </w:tcPr>
          <w:p w14:paraId="3D6A006E">
            <w:pPr>
              <w:jc w:val="center"/>
              <w:rPr>
                <w:rFonts w:ascii="Times New Roman" w:hAnsi="Times New Roman" w:eastAsia="宋体" w:cs="Times New Roman"/>
                <w:sz w:val="18"/>
                <w:szCs w:val="18"/>
              </w:rPr>
            </w:pPr>
            <w:r>
              <w:rPr>
                <w:rFonts w:ascii="Times New Roman" w:hAnsi="Times New Roman" w:eastAsia="宋体" w:cs="Times New Roman"/>
                <w:sz w:val="18"/>
                <w:szCs w:val="18"/>
              </w:rPr>
              <w:t>-10.6158</w:t>
            </w:r>
          </w:p>
          <w:p w14:paraId="631BC7E2">
            <w:pPr>
              <w:jc w:val="center"/>
              <w:rPr>
                <w:rFonts w:ascii="Times New Roman" w:hAnsi="Times New Roman" w:eastAsia="宋体" w:cs="Times New Roman"/>
                <w:sz w:val="18"/>
                <w:szCs w:val="18"/>
              </w:rPr>
            </w:pPr>
            <w:r>
              <w:rPr>
                <w:rFonts w:ascii="Times New Roman" w:hAnsi="Times New Roman" w:eastAsia="宋体" w:cs="Times New Roman"/>
                <w:sz w:val="18"/>
                <w:szCs w:val="18"/>
              </w:rPr>
              <w:t>（-1.33）</w:t>
            </w:r>
          </w:p>
        </w:tc>
        <w:tc>
          <w:tcPr>
            <w:tcW w:w="1231" w:type="dxa"/>
            <w:tcBorders>
              <w:top w:val="nil"/>
              <w:left w:val="nil"/>
              <w:bottom w:val="nil"/>
              <w:right w:val="nil"/>
            </w:tcBorders>
            <w:vAlign w:val="center"/>
          </w:tcPr>
          <w:p w14:paraId="2E5CB6AB">
            <w:pPr>
              <w:jc w:val="center"/>
              <w:rPr>
                <w:rFonts w:ascii="Times New Roman" w:hAnsi="Times New Roman" w:eastAsia="宋体" w:cs="Times New Roman"/>
                <w:sz w:val="18"/>
                <w:szCs w:val="18"/>
              </w:rPr>
            </w:pPr>
            <w:r>
              <w:rPr>
                <w:rFonts w:ascii="Times New Roman" w:hAnsi="Times New Roman" w:eastAsia="宋体" w:cs="Times New Roman"/>
                <w:sz w:val="18"/>
                <w:szCs w:val="18"/>
              </w:rPr>
              <w:t>-0.7513***（-14.89）</w:t>
            </w:r>
          </w:p>
        </w:tc>
        <w:tc>
          <w:tcPr>
            <w:tcW w:w="1231" w:type="dxa"/>
            <w:gridSpan w:val="2"/>
            <w:tcBorders>
              <w:top w:val="nil"/>
              <w:left w:val="nil"/>
              <w:bottom w:val="nil"/>
              <w:right w:val="nil"/>
            </w:tcBorders>
            <w:vAlign w:val="center"/>
          </w:tcPr>
          <w:p w14:paraId="69D2F621">
            <w:pPr>
              <w:jc w:val="center"/>
              <w:rPr>
                <w:rFonts w:ascii="Times New Roman" w:hAnsi="Times New Roman" w:eastAsia="宋体" w:cs="Times New Roman"/>
                <w:sz w:val="18"/>
                <w:szCs w:val="18"/>
              </w:rPr>
            </w:pPr>
            <w:r>
              <w:rPr>
                <w:rFonts w:ascii="Times New Roman" w:hAnsi="Times New Roman" w:eastAsia="宋体" w:cs="Times New Roman"/>
                <w:sz w:val="18"/>
                <w:szCs w:val="18"/>
              </w:rPr>
              <w:t>-0.6712***（-5.93）</w:t>
            </w:r>
          </w:p>
        </w:tc>
        <w:tc>
          <w:tcPr>
            <w:tcW w:w="1231" w:type="dxa"/>
            <w:tcBorders>
              <w:top w:val="nil"/>
              <w:left w:val="nil"/>
              <w:bottom w:val="nil"/>
              <w:right w:val="nil"/>
            </w:tcBorders>
            <w:vAlign w:val="center"/>
          </w:tcPr>
          <w:p w14:paraId="025E0F37">
            <w:pPr>
              <w:jc w:val="center"/>
              <w:rPr>
                <w:rFonts w:ascii="Times New Roman" w:hAnsi="Times New Roman" w:eastAsia="宋体" w:cs="Times New Roman"/>
                <w:sz w:val="18"/>
                <w:szCs w:val="18"/>
              </w:rPr>
            </w:pPr>
            <w:r>
              <w:rPr>
                <w:rFonts w:ascii="Times New Roman" w:hAnsi="Times New Roman" w:eastAsia="宋体" w:cs="Times New Roman"/>
                <w:sz w:val="18"/>
                <w:szCs w:val="18"/>
              </w:rPr>
              <w:t>-14.1226（-0.31）</w:t>
            </w:r>
          </w:p>
        </w:tc>
        <w:tc>
          <w:tcPr>
            <w:tcW w:w="1231" w:type="dxa"/>
            <w:tcBorders>
              <w:top w:val="nil"/>
              <w:left w:val="nil"/>
              <w:bottom w:val="nil"/>
              <w:right w:val="nil"/>
            </w:tcBorders>
            <w:vAlign w:val="center"/>
          </w:tcPr>
          <w:p w14:paraId="38CA84A5">
            <w:pPr>
              <w:jc w:val="center"/>
              <w:rPr>
                <w:rFonts w:ascii="Times New Roman" w:hAnsi="Times New Roman" w:eastAsia="宋体" w:cs="Times New Roman"/>
                <w:sz w:val="18"/>
                <w:szCs w:val="18"/>
              </w:rPr>
            </w:pPr>
            <w:r>
              <w:rPr>
                <w:rFonts w:ascii="Times New Roman" w:hAnsi="Times New Roman" w:eastAsia="宋体" w:cs="Times New Roman"/>
                <w:sz w:val="18"/>
                <w:szCs w:val="18"/>
              </w:rPr>
              <w:t>-0.6619***（-5.67）</w:t>
            </w:r>
          </w:p>
        </w:tc>
      </w:tr>
      <w:tr w14:paraId="52518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23" w:hRule="atLeast"/>
          <w:jc w:val="center"/>
        </w:trPr>
        <w:tc>
          <w:tcPr>
            <w:tcW w:w="970" w:type="dxa"/>
            <w:tcBorders>
              <w:top w:val="nil"/>
              <w:left w:val="nil"/>
              <w:bottom w:val="nil"/>
              <w:right w:val="nil"/>
            </w:tcBorders>
            <w:vAlign w:val="center"/>
          </w:tcPr>
          <w:p w14:paraId="06F3D0E6">
            <w:pPr>
              <w:jc w:val="center"/>
              <w:rPr>
                <w:rFonts w:ascii="Times New Roman" w:hAnsi="Times New Roman" w:eastAsia="宋体" w:cs="Times New Roman"/>
                <w:sz w:val="18"/>
                <w:szCs w:val="18"/>
              </w:rPr>
            </w:pPr>
            <w:r>
              <w:rPr>
                <w:rFonts w:ascii="Times New Roman" w:hAnsi="Times New Roman" w:eastAsia="宋体" w:cs="Times New Roman"/>
                <w:sz w:val="18"/>
                <w:szCs w:val="18"/>
              </w:rPr>
              <w:t>控制变量</w:t>
            </w:r>
          </w:p>
        </w:tc>
        <w:tc>
          <w:tcPr>
            <w:tcW w:w="1231" w:type="dxa"/>
            <w:tcBorders>
              <w:top w:val="nil"/>
              <w:left w:val="nil"/>
              <w:bottom w:val="nil"/>
              <w:right w:val="nil"/>
            </w:tcBorders>
            <w:vAlign w:val="center"/>
          </w:tcPr>
          <w:p w14:paraId="6CA6D135">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tcBorders>
              <w:top w:val="nil"/>
              <w:left w:val="nil"/>
              <w:bottom w:val="nil"/>
              <w:right w:val="nil"/>
            </w:tcBorders>
            <w:vAlign w:val="center"/>
          </w:tcPr>
          <w:p w14:paraId="697BAFC2">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tcBorders>
              <w:top w:val="nil"/>
              <w:left w:val="nil"/>
              <w:bottom w:val="nil"/>
              <w:right w:val="nil"/>
            </w:tcBorders>
            <w:vAlign w:val="center"/>
          </w:tcPr>
          <w:p w14:paraId="57F8C387">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gridSpan w:val="2"/>
            <w:tcBorders>
              <w:top w:val="nil"/>
              <w:left w:val="nil"/>
              <w:bottom w:val="nil"/>
              <w:right w:val="nil"/>
            </w:tcBorders>
            <w:vAlign w:val="center"/>
          </w:tcPr>
          <w:p w14:paraId="1C747A06">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tcBorders>
              <w:top w:val="nil"/>
              <w:left w:val="nil"/>
              <w:bottom w:val="nil"/>
              <w:right w:val="nil"/>
            </w:tcBorders>
            <w:vAlign w:val="center"/>
          </w:tcPr>
          <w:p w14:paraId="07069C12">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tcBorders>
              <w:top w:val="nil"/>
              <w:left w:val="nil"/>
              <w:bottom w:val="nil"/>
              <w:right w:val="nil"/>
            </w:tcBorders>
            <w:vAlign w:val="center"/>
          </w:tcPr>
          <w:p w14:paraId="3D572688">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r>
      <w:tr w14:paraId="05D3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23" w:hRule="atLeast"/>
          <w:jc w:val="center"/>
        </w:trPr>
        <w:tc>
          <w:tcPr>
            <w:tcW w:w="970" w:type="dxa"/>
            <w:tcBorders>
              <w:top w:val="nil"/>
              <w:left w:val="nil"/>
              <w:bottom w:val="nil"/>
              <w:right w:val="nil"/>
            </w:tcBorders>
            <w:vAlign w:val="center"/>
          </w:tcPr>
          <w:p w14:paraId="6B619404">
            <w:pPr>
              <w:jc w:val="center"/>
              <w:rPr>
                <w:rFonts w:ascii="Times New Roman" w:hAnsi="Times New Roman" w:eastAsia="宋体" w:cs="Times New Roman"/>
                <w:sz w:val="18"/>
                <w:szCs w:val="18"/>
              </w:rPr>
            </w:pPr>
            <w:r>
              <w:rPr>
                <w:rFonts w:ascii="Times New Roman" w:hAnsi="Times New Roman" w:eastAsia="宋体" w:cs="Times New Roman"/>
                <w:sz w:val="18"/>
                <w:szCs w:val="18"/>
              </w:rPr>
              <w:t>个体固定</w:t>
            </w:r>
          </w:p>
        </w:tc>
        <w:tc>
          <w:tcPr>
            <w:tcW w:w="1231" w:type="dxa"/>
            <w:tcBorders>
              <w:top w:val="nil"/>
              <w:left w:val="nil"/>
              <w:bottom w:val="nil"/>
              <w:right w:val="nil"/>
            </w:tcBorders>
            <w:vAlign w:val="center"/>
          </w:tcPr>
          <w:p w14:paraId="08260E00">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tcBorders>
              <w:top w:val="nil"/>
              <w:left w:val="nil"/>
              <w:bottom w:val="nil"/>
              <w:right w:val="nil"/>
            </w:tcBorders>
            <w:vAlign w:val="center"/>
          </w:tcPr>
          <w:p w14:paraId="7399226B">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tcBorders>
              <w:top w:val="nil"/>
              <w:left w:val="nil"/>
              <w:bottom w:val="nil"/>
              <w:right w:val="nil"/>
            </w:tcBorders>
            <w:vAlign w:val="center"/>
          </w:tcPr>
          <w:p w14:paraId="3EC8F2CD">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gridSpan w:val="2"/>
            <w:tcBorders>
              <w:top w:val="nil"/>
              <w:left w:val="nil"/>
              <w:bottom w:val="nil"/>
              <w:right w:val="nil"/>
            </w:tcBorders>
            <w:vAlign w:val="center"/>
          </w:tcPr>
          <w:p w14:paraId="188C3D8E">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tcBorders>
              <w:top w:val="nil"/>
              <w:left w:val="nil"/>
              <w:bottom w:val="nil"/>
              <w:right w:val="nil"/>
            </w:tcBorders>
            <w:vAlign w:val="center"/>
          </w:tcPr>
          <w:p w14:paraId="4C8C7C43">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c>
          <w:tcPr>
            <w:tcW w:w="1231" w:type="dxa"/>
            <w:tcBorders>
              <w:top w:val="nil"/>
              <w:left w:val="nil"/>
              <w:bottom w:val="nil"/>
              <w:right w:val="nil"/>
            </w:tcBorders>
            <w:vAlign w:val="center"/>
          </w:tcPr>
          <w:p w14:paraId="162082C6">
            <w:pPr>
              <w:jc w:val="center"/>
              <w:rPr>
                <w:rFonts w:ascii="Times New Roman" w:hAnsi="Times New Roman" w:eastAsia="宋体" w:cs="Times New Roman"/>
                <w:sz w:val="18"/>
                <w:szCs w:val="18"/>
              </w:rPr>
            </w:pPr>
            <w:r>
              <w:rPr>
                <w:rFonts w:hint="eastAsia" w:ascii="Times New Roman" w:hAnsi="Times New Roman" w:eastAsia="宋体" w:cs="Times New Roman"/>
                <w:sz w:val="18"/>
                <w:szCs w:val="18"/>
              </w:rPr>
              <w:t>Yes</w:t>
            </w:r>
          </w:p>
        </w:tc>
      </w:tr>
      <w:tr w14:paraId="513A8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42" w:hRule="atLeast"/>
          <w:jc w:val="center"/>
        </w:trPr>
        <w:tc>
          <w:tcPr>
            <w:tcW w:w="970" w:type="dxa"/>
            <w:tcBorders>
              <w:top w:val="nil"/>
              <w:left w:val="nil"/>
              <w:bottom w:val="nil"/>
              <w:right w:val="nil"/>
            </w:tcBorders>
            <w:vAlign w:val="center"/>
          </w:tcPr>
          <w:p w14:paraId="4921B6E3">
            <w:pPr>
              <w:jc w:val="center"/>
              <w:rPr>
                <w:rFonts w:ascii="Times New Roman" w:hAnsi="Times New Roman" w:eastAsia="宋体" w:cs="Times New Roman"/>
                <w:sz w:val="18"/>
                <w:szCs w:val="18"/>
              </w:rPr>
            </w:pPr>
            <w:r>
              <w:rPr>
                <w:rFonts w:ascii="Times New Roman" w:hAnsi="Times New Roman" w:eastAsia="宋体" w:cs="Times New Roman"/>
                <w:sz w:val="18"/>
                <w:szCs w:val="18"/>
              </w:rPr>
              <w:t>N</w:t>
            </w:r>
          </w:p>
        </w:tc>
        <w:tc>
          <w:tcPr>
            <w:tcW w:w="1231" w:type="dxa"/>
            <w:tcBorders>
              <w:top w:val="nil"/>
              <w:left w:val="nil"/>
              <w:bottom w:val="nil"/>
              <w:right w:val="nil"/>
            </w:tcBorders>
            <w:vAlign w:val="center"/>
          </w:tcPr>
          <w:p w14:paraId="281E8585">
            <w:pPr>
              <w:jc w:val="center"/>
              <w:rPr>
                <w:rFonts w:ascii="Times New Roman" w:hAnsi="Times New Roman" w:eastAsia="宋体" w:cs="Times New Roman"/>
                <w:sz w:val="18"/>
                <w:szCs w:val="18"/>
              </w:rPr>
            </w:pPr>
            <w:r>
              <w:rPr>
                <w:rFonts w:ascii="Times New Roman" w:hAnsi="Times New Roman" w:eastAsia="宋体" w:cs="Times New Roman"/>
                <w:sz w:val="18"/>
                <w:szCs w:val="18"/>
              </w:rPr>
              <w:t>204</w:t>
            </w:r>
          </w:p>
        </w:tc>
        <w:tc>
          <w:tcPr>
            <w:tcW w:w="1231" w:type="dxa"/>
            <w:tcBorders>
              <w:top w:val="nil"/>
              <w:left w:val="nil"/>
              <w:bottom w:val="nil"/>
              <w:right w:val="nil"/>
            </w:tcBorders>
            <w:vAlign w:val="center"/>
          </w:tcPr>
          <w:p w14:paraId="75D74F6C">
            <w:pPr>
              <w:jc w:val="center"/>
              <w:rPr>
                <w:rFonts w:ascii="Times New Roman" w:hAnsi="Times New Roman" w:eastAsia="宋体" w:cs="Times New Roman"/>
                <w:sz w:val="18"/>
                <w:szCs w:val="18"/>
              </w:rPr>
            </w:pPr>
            <w:r>
              <w:rPr>
                <w:rFonts w:ascii="Times New Roman" w:hAnsi="Times New Roman" w:eastAsia="宋体" w:cs="Times New Roman"/>
                <w:sz w:val="18"/>
                <w:szCs w:val="18"/>
              </w:rPr>
              <w:t>204</w:t>
            </w:r>
          </w:p>
        </w:tc>
        <w:tc>
          <w:tcPr>
            <w:tcW w:w="1231" w:type="dxa"/>
            <w:tcBorders>
              <w:top w:val="nil"/>
              <w:left w:val="nil"/>
              <w:bottom w:val="nil"/>
              <w:right w:val="nil"/>
            </w:tcBorders>
            <w:vAlign w:val="center"/>
          </w:tcPr>
          <w:p w14:paraId="5FC44E94">
            <w:pPr>
              <w:jc w:val="center"/>
              <w:rPr>
                <w:rFonts w:ascii="Times New Roman" w:hAnsi="Times New Roman" w:eastAsia="宋体" w:cs="Times New Roman"/>
                <w:sz w:val="18"/>
                <w:szCs w:val="18"/>
              </w:rPr>
            </w:pPr>
            <w:r>
              <w:rPr>
                <w:rFonts w:ascii="Times New Roman" w:hAnsi="Times New Roman" w:eastAsia="宋体" w:cs="Times New Roman"/>
                <w:sz w:val="18"/>
                <w:szCs w:val="18"/>
              </w:rPr>
              <w:t>204</w:t>
            </w:r>
          </w:p>
        </w:tc>
        <w:tc>
          <w:tcPr>
            <w:tcW w:w="1231" w:type="dxa"/>
            <w:gridSpan w:val="2"/>
            <w:tcBorders>
              <w:top w:val="nil"/>
              <w:left w:val="nil"/>
              <w:bottom w:val="nil"/>
              <w:right w:val="nil"/>
            </w:tcBorders>
            <w:vAlign w:val="center"/>
          </w:tcPr>
          <w:p w14:paraId="08691A95">
            <w:pPr>
              <w:jc w:val="center"/>
              <w:rPr>
                <w:rFonts w:ascii="Times New Roman" w:hAnsi="Times New Roman" w:eastAsia="宋体" w:cs="Times New Roman"/>
                <w:sz w:val="18"/>
                <w:szCs w:val="18"/>
              </w:rPr>
            </w:pPr>
            <w:r>
              <w:rPr>
                <w:rFonts w:ascii="Times New Roman" w:hAnsi="Times New Roman" w:eastAsia="宋体" w:cs="Times New Roman"/>
                <w:sz w:val="18"/>
                <w:szCs w:val="18"/>
              </w:rPr>
              <w:t>156</w:t>
            </w:r>
          </w:p>
        </w:tc>
        <w:tc>
          <w:tcPr>
            <w:tcW w:w="1231" w:type="dxa"/>
            <w:tcBorders>
              <w:top w:val="nil"/>
              <w:left w:val="nil"/>
              <w:bottom w:val="nil"/>
              <w:right w:val="nil"/>
            </w:tcBorders>
            <w:vAlign w:val="center"/>
          </w:tcPr>
          <w:p w14:paraId="3C546358">
            <w:pPr>
              <w:jc w:val="center"/>
              <w:rPr>
                <w:rFonts w:ascii="Times New Roman" w:hAnsi="Times New Roman" w:eastAsia="宋体" w:cs="Times New Roman"/>
                <w:sz w:val="18"/>
                <w:szCs w:val="18"/>
              </w:rPr>
            </w:pPr>
            <w:r>
              <w:rPr>
                <w:rFonts w:ascii="Times New Roman" w:hAnsi="Times New Roman" w:eastAsia="宋体" w:cs="Times New Roman"/>
                <w:sz w:val="18"/>
                <w:szCs w:val="18"/>
              </w:rPr>
              <w:t>156</w:t>
            </w:r>
          </w:p>
        </w:tc>
        <w:tc>
          <w:tcPr>
            <w:tcW w:w="1231" w:type="dxa"/>
            <w:tcBorders>
              <w:top w:val="nil"/>
              <w:left w:val="nil"/>
              <w:bottom w:val="nil"/>
              <w:right w:val="nil"/>
            </w:tcBorders>
            <w:vAlign w:val="center"/>
          </w:tcPr>
          <w:p w14:paraId="37489180">
            <w:pPr>
              <w:jc w:val="center"/>
              <w:rPr>
                <w:rFonts w:ascii="Times New Roman" w:hAnsi="Times New Roman" w:eastAsia="宋体" w:cs="Times New Roman"/>
                <w:sz w:val="18"/>
                <w:szCs w:val="18"/>
              </w:rPr>
            </w:pPr>
            <w:r>
              <w:rPr>
                <w:rFonts w:ascii="Times New Roman" w:hAnsi="Times New Roman" w:eastAsia="宋体" w:cs="Times New Roman"/>
                <w:sz w:val="18"/>
                <w:szCs w:val="18"/>
              </w:rPr>
              <w:t>156</w:t>
            </w:r>
          </w:p>
        </w:tc>
      </w:tr>
      <w:tr w14:paraId="79EF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3" w:type="dxa"/>
          <w:trHeight w:val="342" w:hRule="atLeast"/>
          <w:jc w:val="center"/>
        </w:trPr>
        <w:tc>
          <w:tcPr>
            <w:tcW w:w="970" w:type="dxa"/>
            <w:tcBorders>
              <w:top w:val="nil"/>
              <w:left w:val="nil"/>
              <w:bottom w:val="single" w:color="auto" w:sz="4" w:space="0"/>
              <w:right w:val="nil"/>
            </w:tcBorders>
            <w:vAlign w:val="center"/>
          </w:tcPr>
          <w:p w14:paraId="1B2FAFFF">
            <w:pPr>
              <w:jc w:val="center"/>
              <w:rPr>
                <w:rFonts w:ascii="Times New Roman" w:hAnsi="Times New Roman" w:eastAsia="宋体" w:cs="Times New Roman"/>
                <w:sz w:val="18"/>
                <w:szCs w:val="18"/>
              </w:rPr>
            </w:pPr>
            <w:r>
              <w:rPr>
                <w:rFonts w:ascii="Times New Roman" w:hAnsi="Times New Roman" w:eastAsia="宋体" w:cs="Times New Roman"/>
                <w:sz w:val="18"/>
                <w:szCs w:val="18"/>
              </w:rPr>
              <w:t>R</w:t>
            </w:r>
            <w:r>
              <w:rPr>
                <w:rFonts w:ascii="Times New Roman" w:hAnsi="Times New Roman" w:eastAsia="宋体" w:cs="Times New Roman"/>
                <w:sz w:val="18"/>
                <w:szCs w:val="18"/>
                <w:vertAlign w:val="superscript"/>
              </w:rPr>
              <w:t>2</w:t>
            </w:r>
          </w:p>
        </w:tc>
        <w:tc>
          <w:tcPr>
            <w:tcW w:w="1231" w:type="dxa"/>
            <w:tcBorders>
              <w:top w:val="nil"/>
              <w:left w:val="nil"/>
              <w:bottom w:val="single" w:color="auto" w:sz="4" w:space="0"/>
              <w:right w:val="nil"/>
            </w:tcBorders>
            <w:vAlign w:val="center"/>
          </w:tcPr>
          <w:p w14:paraId="4315F47D">
            <w:pPr>
              <w:jc w:val="center"/>
              <w:rPr>
                <w:rFonts w:ascii="Times New Roman" w:hAnsi="Times New Roman" w:eastAsia="宋体" w:cs="Times New Roman"/>
                <w:sz w:val="18"/>
                <w:szCs w:val="18"/>
              </w:rPr>
            </w:pPr>
            <w:r>
              <w:rPr>
                <w:rFonts w:ascii="Times New Roman" w:hAnsi="Times New Roman" w:eastAsia="宋体" w:cs="Times New Roman"/>
                <w:sz w:val="18"/>
                <w:szCs w:val="18"/>
              </w:rPr>
              <w:t>0.9888</w:t>
            </w:r>
          </w:p>
        </w:tc>
        <w:tc>
          <w:tcPr>
            <w:tcW w:w="1231" w:type="dxa"/>
            <w:tcBorders>
              <w:top w:val="nil"/>
              <w:left w:val="nil"/>
              <w:bottom w:val="single" w:color="auto" w:sz="4" w:space="0"/>
              <w:right w:val="nil"/>
            </w:tcBorders>
            <w:vAlign w:val="center"/>
          </w:tcPr>
          <w:p w14:paraId="3CBE9817">
            <w:pPr>
              <w:jc w:val="center"/>
              <w:rPr>
                <w:rFonts w:ascii="Times New Roman" w:hAnsi="Times New Roman" w:eastAsia="宋体" w:cs="Times New Roman"/>
                <w:sz w:val="18"/>
                <w:szCs w:val="18"/>
              </w:rPr>
            </w:pPr>
            <w:r>
              <w:rPr>
                <w:rFonts w:ascii="Times New Roman" w:hAnsi="Times New Roman" w:eastAsia="宋体" w:cs="Times New Roman"/>
                <w:sz w:val="18"/>
                <w:szCs w:val="18"/>
              </w:rPr>
              <w:t>0.2170</w:t>
            </w:r>
          </w:p>
        </w:tc>
        <w:tc>
          <w:tcPr>
            <w:tcW w:w="1231" w:type="dxa"/>
            <w:tcBorders>
              <w:top w:val="nil"/>
              <w:left w:val="nil"/>
              <w:bottom w:val="single" w:color="auto" w:sz="4" w:space="0"/>
              <w:right w:val="nil"/>
            </w:tcBorders>
            <w:vAlign w:val="center"/>
          </w:tcPr>
          <w:p w14:paraId="2E1D035C">
            <w:pPr>
              <w:jc w:val="center"/>
              <w:rPr>
                <w:rFonts w:ascii="Times New Roman" w:hAnsi="Times New Roman" w:eastAsia="宋体" w:cs="Times New Roman"/>
                <w:sz w:val="18"/>
                <w:szCs w:val="18"/>
              </w:rPr>
            </w:pPr>
            <w:r>
              <w:rPr>
                <w:rFonts w:ascii="Times New Roman" w:hAnsi="Times New Roman" w:eastAsia="宋体" w:cs="Times New Roman"/>
                <w:sz w:val="18"/>
                <w:szCs w:val="18"/>
              </w:rPr>
              <w:t>0.9892</w:t>
            </w:r>
          </w:p>
        </w:tc>
        <w:tc>
          <w:tcPr>
            <w:tcW w:w="1231" w:type="dxa"/>
            <w:gridSpan w:val="2"/>
            <w:tcBorders>
              <w:top w:val="nil"/>
              <w:left w:val="nil"/>
              <w:bottom w:val="single" w:color="auto" w:sz="4" w:space="0"/>
              <w:right w:val="nil"/>
            </w:tcBorders>
            <w:vAlign w:val="center"/>
          </w:tcPr>
          <w:p w14:paraId="717633FA">
            <w:pPr>
              <w:jc w:val="center"/>
              <w:rPr>
                <w:rFonts w:ascii="Times New Roman" w:hAnsi="Times New Roman" w:eastAsia="宋体" w:cs="Times New Roman"/>
                <w:sz w:val="18"/>
                <w:szCs w:val="18"/>
              </w:rPr>
            </w:pPr>
            <w:r>
              <w:rPr>
                <w:rFonts w:ascii="Times New Roman" w:hAnsi="Times New Roman" w:eastAsia="宋体" w:cs="Times New Roman"/>
                <w:sz w:val="18"/>
                <w:szCs w:val="18"/>
              </w:rPr>
              <w:t>0.9951</w:t>
            </w:r>
          </w:p>
        </w:tc>
        <w:tc>
          <w:tcPr>
            <w:tcW w:w="1231" w:type="dxa"/>
            <w:tcBorders>
              <w:top w:val="nil"/>
              <w:left w:val="nil"/>
              <w:bottom w:val="single" w:color="auto" w:sz="4" w:space="0"/>
              <w:right w:val="nil"/>
            </w:tcBorders>
            <w:vAlign w:val="center"/>
          </w:tcPr>
          <w:p w14:paraId="1E26D096">
            <w:pPr>
              <w:jc w:val="center"/>
              <w:rPr>
                <w:rFonts w:ascii="Times New Roman" w:hAnsi="Times New Roman" w:eastAsia="宋体" w:cs="Times New Roman"/>
                <w:sz w:val="18"/>
                <w:szCs w:val="18"/>
              </w:rPr>
            </w:pPr>
            <w:r>
              <w:rPr>
                <w:rFonts w:ascii="Times New Roman" w:hAnsi="Times New Roman" w:eastAsia="宋体" w:cs="Times New Roman"/>
                <w:sz w:val="18"/>
                <w:szCs w:val="18"/>
              </w:rPr>
              <w:t>0.1883</w:t>
            </w:r>
          </w:p>
        </w:tc>
        <w:tc>
          <w:tcPr>
            <w:tcW w:w="1231" w:type="dxa"/>
            <w:tcBorders>
              <w:top w:val="nil"/>
              <w:left w:val="nil"/>
              <w:bottom w:val="single" w:color="auto" w:sz="4" w:space="0"/>
              <w:right w:val="nil"/>
            </w:tcBorders>
            <w:vAlign w:val="center"/>
          </w:tcPr>
          <w:p w14:paraId="22233C70">
            <w:pPr>
              <w:jc w:val="center"/>
              <w:rPr>
                <w:rFonts w:ascii="Times New Roman" w:hAnsi="Times New Roman" w:eastAsia="宋体" w:cs="Times New Roman"/>
                <w:sz w:val="18"/>
                <w:szCs w:val="18"/>
              </w:rPr>
            </w:pPr>
            <w:r>
              <w:rPr>
                <w:rFonts w:ascii="Times New Roman" w:hAnsi="Times New Roman" w:eastAsia="宋体" w:cs="Times New Roman"/>
                <w:sz w:val="18"/>
                <w:szCs w:val="18"/>
              </w:rPr>
              <w:t>0.9953</w:t>
            </w:r>
          </w:p>
        </w:tc>
      </w:tr>
    </w:tbl>
    <w:p w14:paraId="50E82075">
      <w:pPr>
        <w:spacing w:line="300" w:lineRule="auto"/>
        <w:rPr>
          <w:rFonts w:ascii="Times New Roman" w:hAnsi="Times New Roman" w:cs="Times New Roman"/>
          <w:b/>
          <w:bCs/>
          <w:sz w:val="18"/>
          <w:szCs w:val="18"/>
        </w:rPr>
      </w:pPr>
      <w:r>
        <w:rPr>
          <w:rFonts w:hint="eastAsia" w:ascii="Times New Roman" w:hAnsi="Times New Roman" w:cs="Times New Roman"/>
          <w:b/>
          <w:bCs/>
          <w:sz w:val="18"/>
          <w:szCs w:val="18"/>
        </w:rPr>
        <w:t>注：</w:t>
      </w:r>
      <w:r>
        <w:rPr>
          <w:rFonts w:ascii="Times New Roman" w:hAnsi="Times New Roman" w:cs="Times New Roman"/>
          <w:b/>
          <w:bCs/>
          <w:sz w:val="18"/>
          <w:szCs w:val="18"/>
        </w:rPr>
        <w:t>括号中为t统计值；*、**、***分别表示显著性水平为10%，5%和1%</w:t>
      </w:r>
      <w:r>
        <w:rPr>
          <w:rFonts w:hint="eastAsia" w:ascii="Times New Roman" w:hAnsi="Times New Roman" w:cs="Times New Roman"/>
          <w:b/>
          <w:bCs/>
          <w:sz w:val="18"/>
          <w:szCs w:val="18"/>
        </w:rPr>
        <w:t>。</w:t>
      </w:r>
    </w:p>
    <w:p w14:paraId="1FF133F7">
      <w:pPr>
        <w:spacing w:line="300" w:lineRule="auto"/>
        <w:rPr>
          <w:rFonts w:ascii="Times New Roman" w:hAnsi="Times New Roman" w:cs="Times New Roman"/>
          <w:b/>
          <w:bCs/>
          <w:sz w:val="18"/>
          <w:szCs w:val="18"/>
        </w:rPr>
      </w:pPr>
    </w:p>
    <w:p w14:paraId="224BF6FC">
      <w:pPr>
        <w:spacing w:line="300" w:lineRule="auto"/>
        <w:ind w:firstLine="482" w:firstLineChars="200"/>
        <w:jc w:val="both"/>
        <w:rPr>
          <w:b/>
          <w:bCs/>
          <w:sz w:val="24"/>
        </w:rPr>
      </w:pPr>
      <w:commentRangeStart w:id="16"/>
      <w:r>
        <w:rPr>
          <w:rFonts w:hint="eastAsia"/>
          <w:b/>
          <w:bCs/>
          <w:sz w:val="24"/>
          <w:lang w:val="en-US" w:eastAsia="zh-CN"/>
        </w:rPr>
        <w:t>四</w:t>
      </w:r>
      <w:r>
        <w:rPr>
          <w:rFonts w:hint="eastAsia"/>
          <w:b/>
          <w:bCs/>
          <w:sz w:val="24"/>
        </w:rPr>
        <w:t>、结论与政策建议</w:t>
      </w:r>
      <w:commentRangeEnd w:id="16"/>
      <w:r>
        <w:commentReference w:id="16"/>
      </w:r>
    </w:p>
    <w:p w14:paraId="641DD083">
      <w:pPr>
        <w:spacing w:line="300" w:lineRule="auto"/>
        <w:ind w:firstLine="420" w:firstLineChars="200"/>
        <w:rPr>
          <w:rFonts w:ascii="Times New Roman" w:hAnsi="Times New Roman" w:cs="Times New Roman"/>
        </w:rPr>
      </w:pPr>
      <w:r>
        <w:rPr>
          <w:rFonts w:hint="eastAsia" w:ascii="Times New Roman" w:hAnsi="Times New Roman" w:cs="Times New Roman"/>
        </w:rPr>
        <w:t>本文利</w:t>
      </w:r>
      <w:r>
        <w:rPr>
          <w:rFonts w:ascii="Times New Roman" w:hAnsi="Times New Roman" w:cs="Times New Roman"/>
        </w:rPr>
        <w:t>用2007-2018年中国30个</w:t>
      </w:r>
      <w:r>
        <w:rPr>
          <w:rFonts w:hint="eastAsia" w:ascii="Times New Roman" w:hAnsi="Times New Roman" w:cs="Times New Roman"/>
        </w:rPr>
        <w:t>省级行政区面板数据，就当前中国面临的二元经济结构现状，从推-拉理论中的农村“推力”角度出发，分析农业现代化、劳动力转移对二元经济结构的影响，并对劳动力转移在其中的中介效应进行检验，最后对中国粮食主产区与非粮食主产区的差异性影响进行比较分析，得到以下主要结论：第一，农业现代化、劳动力转移均有利于二元经济结构优化，劳动力转移在其中发挥中介作用。农业现代化的提高一方面释放了更多农业剩余劳动力，为第二三产业提供劳动力，另一方面加速了第一产业发展，从而优化二元经济结构，其中农业现代化除直接作用于二元经济结构，还通过劳动力转移</w:t>
      </w:r>
      <w:r>
        <w:rPr>
          <w:rFonts w:hint="eastAsia" w:ascii="Times New Roman" w:hAnsi="Times New Roman" w:cs="Times New Roman"/>
          <w:lang w:val="en-US" w:eastAsia="zh-CN"/>
        </w:rPr>
        <w:t>产生</w:t>
      </w:r>
      <w:r>
        <w:rPr>
          <w:rFonts w:hint="eastAsia" w:ascii="Times New Roman" w:hAnsi="Times New Roman" w:cs="Times New Roman"/>
        </w:rPr>
        <w:t>间接作用。此外，经济发展水平高、第二三产业发达和一般公共服务水平高的地区的经济结构消解效应越明显。第二，粮食主产区与非粮食主产区的农业现代化、劳动力转移均有利于二元经济结构优化，其中，劳动力转移对粮食主产区的农业现代化不存在中介效应，而对非粮食主产区存在部分中介效应。</w:t>
      </w:r>
    </w:p>
    <w:p w14:paraId="4D751B0A">
      <w:pPr>
        <w:spacing w:line="300" w:lineRule="auto"/>
        <w:ind w:firstLine="420" w:firstLineChars="200"/>
      </w:pPr>
      <w:r>
        <w:rPr>
          <w:rFonts w:hint="eastAsia" w:ascii="Times New Roman" w:hAnsi="Times New Roman" w:cs="Times New Roman"/>
        </w:rPr>
        <w:t>结合当前中国社会经济发展现实，基于本文的研究结论，提出以下几点政策建议。第一，加快农业现代化步伐，促进农业劳动力进一步转移。大力发展现代农业，提高农业生产率，以释放更多农业剩余劳动力。此外，注重农业产业链向第二三产业的延伸，加快农村第二三产业的发展，调整农业生产结构和农村产业结构，加快城乡经济一体化进程。第二，粮食主产区与非粮食主产区实行差异化土地流转机制。为实现土地规模化经营，提高农业生产率，粮食主产区和非粮食主产区都必须加快农村土地流转。粮食主产区应充分利用地理优势，支持和发展农民合作组织和家庭农场，实现土地规模流转，避免释放的劳动力滞留或回流。非粮食主产区则应探索促进土地规模流转的有效补偿机制，促进农业剩余劳动力转移，进一步优化二元经济结构。第三，优化财政支出结构。为提高财政支农效率，应不断优化支农结构，加大对农业研发、农业技术创新、农业机械化投入的扶持力度，为加快农业现代化步伐提供保障。此外，加大农村教育支持力度，促进劳动力向城市转移，为城市第二三产业发展储蓄人力资本。第四，保障农业转移人口权益。加快户籍制度改革，为农业转移人口创造与城市居民平等的就业环境，建立覆盖农业转移人口的公共服务供给机制；加快教育制度改革，为农业转移人口子女提供平等入学机会，提高农业转移人口迁移的稳定性；促进农业转移人口与城市居民的社会融合，真正实现农业转移人口市民化。</w:t>
      </w:r>
    </w:p>
    <w:p w14:paraId="2868DA15">
      <w:pPr>
        <w:spacing w:line="300" w:lineRule="auto"/>
      </w:pPr>
    </w:p>
    <w:p w14:paraId="5DCFE76F">
      <w:pPr>
        <w:spacing w:line="324" w:lineRule="exact"/>
        <w:ind w:firstLine="422" w:firstLineChars="200"/>
        <w:rPr>
          <w:rFonts w:ascii="Times New Roman" w:hAnsi="Times New Roman" w:eastAsia="宋体" w:cs="Times New Roman"/>
          <w:sz w:val="18"/>
          <w:szCs w:val="18"/>
        </w:rPr>
      </w:pPr>
      <w:commentRangeStart w:id="17"/>
      <w:r>
        <w:rPr>
          <w:rFonts w:hint="eastAsia"/>
          <w:b/>
          <w:bCs/>
        </w:rPr>
        <w:t>参考文献：</w:t>
      </w:r>
      <w:commentRangeEnd w:id="17"/>
      <w:r>
        <w:commentReference w:id="17"/>
      </w:r>
    </w:p>
    <w:p w14:paraId="10DE72B2">
      <w:pPr>
        <w:spacing w:line="324" w:lineRule="exact"/>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[1] 陈宗胜，黎德福. 内生农业技术进步的二元经济增长模型——对“东亚奇迹”和中国经济的再解释[J]. 经济研究，2004(11).</w:t>
      </w:r>
    </w:p>
    <w:p w14:paraId="25971D8F">
      <w:pPr>
        <w:spacing w:line="324" w:lineRule="exact"/>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[2] 汪进，钟笑寒. 中国的刘易斯转折点是否到来——理论辨析与国际经验[J]. 中国社会科学，2011(5).</w:t>
      </w:r>
    </w:p>
    <w:p w14:paraId="564D228B">
      <w:pPr>
        <w:spacing w:line="324" w:lineRule="exact"/>
        <w:ind w:firstLine="360" w:firstLineChars="200"/>
        <w:rPr>
          <w:rFonts w:ascii="宋体" w:hAnsi="宋体" w:eastAsia="宋体" w:cs="宋体"/>
          <w:sz w:val="18"/>
          <w:szCs w:val="18"/>
        </w:rPr>
      </w:pPr>
      <w:r>
        <w:rPr>
          <w:rFonts w:hint="eastAsia" w:ascii="Times New Roman" w:hAnsi="Times New Roman" w:eastAsia="宋体" w:cs="Times New Roman"/>
          <w:sz w:val="18"/>
          <w:szCs w:val="18"/>
        </w:rPr>
        <w:t xml:space="preserve">[3] </w:t>
      </w:r>
      <w:r>
        <w:rPr>
          <w:rFonts w:hint="eastAsia" w:ascii="宋体" w:hAnsi="宋体" w:eastAsia="宋体" w:cs="宋体"/>
          <w:sz w:val="18"/>
          <w:szCs w:val="18"/>
        </w:rPr>
        <w:t>蔡昉. 农业劳动力转移潜力耗尽了吗?</w:t>
      </w:r>
      <w:r>
        <w:rPr>
          <w:rFonts w:hint="eastAsia" w:ascii="Times New Roman" w:hAnsi="Times New Roman" w:eastAsia="宋体" w:cs="Times New Roman"/>
          <w:sz w:val="18"/>
          <w:szCs w:val="18"/>
        </w:rPr>
        <w:t>[J]</w:t>
      </w:r>
      <w:r>
        <w:rPr>
          <w:rFonts w:hint="eastAsia" w:ascii="宋体" w:hAnsi="宋体" w:eastAsia="宋体" w:cs="宋体"/>
          <w:sz w:val="18"/>
          <w:szCs w:val="18"/>
        </w:rPr>
        <w:t>. 中国农村经济，</w:t>
      </w:r>
      <w:r>
        <w:rPr>
          <w:rFonts w:hint="eastAsia" w:ascii="Times New Roman" w:hAnsi="Times New Roman" w:eastAsia="宋体" w:cs="Times New Roman"/>
          <w:sz w:val="18"/>
          <w:szCs w:val="18"/>
        </w:rPr>
        <w:t>2018(9)</w:t>
      </w:r>
      <w:r>
        <w:rPr>
          <w:rFonts w:hint="eastAsia" w:ascii="宋体" w:hAnsi="宋体" w:eastAsia="宋体" w:cs="宋体"/>
          <w:sz w:val="18"/>
          <w:szCs w:val="18"/>
        </w:rPr>
        <w:t>.</w:t>
      </w:r>
    </w:p>
    <w:p w14:paraId="3B0E3F60">
      <w:pPr>
        <w:spacing w:line="324" w:lineRule="exact"/>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 xml:space="preserve">[4] </w:t>
      </w:r>
      <w:r>
        <w:rPr>
          <w:rFonts w:ascii="Times New Roman" w:hAnsi="Times New Roman" w:eastAsia="宋体" w:cs="Times New Roman"/>
          <w:sz w:val="18"/>
          <w:szCs w:val="18"/>
        </w:rPr>
        <w:t>Bucovetsky</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 xml:space="preserve">S. Incentive </w:t>
      </w:r>
      <w:r>
        <w:rPr>
          <w:rFonts w:hint="eastAsia" w:ascii="Times New Roman" w:hAnsi="Times New Roman" w:eastAsia="宋体" w:cs="Times New Roman"/>
          <w:sz w:val="18"/>
          <w:szCs w:val="18"/>
        </w:rPr>
        <w:t>E</w:t>
      </w:r>
      <w:r>
        <w:rPr>
          <w:rFonts w:ascii="Times New Roman" w:hAnsi="Times New Roman" w:eastAsia="宋体" w:cs="Times New Roman"/>
          <w:sz w:val="18"/>
          <w:szCs w:val="18"/>
        </w:rPr>
        <w:t xml:space="preserve">quivalence with </w:t>
      </w:r>
      <w:r>
        <w:rPr>
          <w:rFonts w:hint="eastAsia" w:ascii="Times New Roman" w:hAnsi="Times New Roman" w:eastAsia="宋体" w:cs="Times New Roman"/>
          <w:sz w:val="18"/>
          <w:szCs w:val="18"/>
        </w:rPr>
        <w:t>F</w:t>
      </w:r>
      <w:r>
        <w:rPr>
          <w:rFonts w:ascii="Times New Roman" w:hAnsi="Times New Roman" w:eastAsia="宋体" w:cs="Times New Roman"/>
          <w:sz w:val="18"/>
          <w:szCs w:val="18"/>
        </w:rPr>
        <w:t xml:space="preserve">ixed </w:t>
      </w:r>
      <w:r>
        <w:rPr>
          <w:rFonts w:hint="eastAsia" w:ascii="Times New Roman" w:hAnsi="Times New Roman" w:eastAsia="宋体" w:cs="Times New Roman"/>
          <w:sz w:val="18"/>
          <w:szCs w:val="18"/>
        </w:rPr>
        <w:t>M</w:t>
      </w:r>
      <w:r>
        <w:rPr>
          <w:rFonts w:ascii="Times New Roman" w:hAnsi="Times New Roman" w:eastAsia="宋体" w:cs="Times New Roman"/>
          <w:sz w:val="18"/>
          <w:szCs w:val="18"/>
        </w:rPr>
        <w:t xml:space="preserve">igration </w:t>
      </w:r>
      <w:r>
        <w:rPr>
          <w:rFonts w:hint="eastAsia" w:ascii="Times New Roman" w:hAnsi="Times New Roman" w:eastAsia="宋体" w:cs="Times New Roman"/>
          <w:sz w:val="18"/>
          <w:szCs w:val="18"/>
        </w:rPr>
        <w:t>C</w:t>
      </w:r>
      <w:r>
        <w:rPr>
          <w:rFonts w:ascii="Times New Roman" w:hAnsi="Times New Roman" w:eastAsia="宋体" w:cs="Times New Roman"/>
          <w:sz w:val="18"/>
          <w:szCs w:val="18"/>
        </w:rPr>
        <w:t xml:space="preserve">osts[J]. </w:t>
      </w:r>
      <w:r>
        <w:rPr>
          <w:rFonts w:hint="eastAsia" w:ascii="Times New Roman" w:hAnsi="Times New Roman" w:eastAsia="宋体" w:cs="Times New Roman"/>
          <w:sz w:val="18"/>
          <w:szCs w:val="18"/>
        </w:rPr>
        <w:t>J</w:t>
      </w:r>
      <w:r>
        <w:rPr>
          <w:rFonts w:ascii="Times New Roman" w:hAnsi="Times New Roman" w:eastAsia="宋体" w:cs="Times New Roman"/>
          <w:sz w:val="18"/>
          <w:szCs w:val="18"/>
        </w:rPr>
        <w:t xml:space="preserve">ournal of </w:t>
      </w:r>
      <w:r>
        <w:rPr>
          <w:rFonts w:hint="eastAsia" w:ascii="Times New Roman" w:hAnsi="Times New Roman" w:eastAsia="宋体" w:cs="Times New Roman"/>
          <w:sz w:val="18"/>
          <w:szCs w:val="18"/>
        </w:rPr>
        <w:t>P</w:t>
      </w:r>
      <w:r>
        <w:rPr>
          <w:rFonts w:ascii="Times New Roman" w:hAnsi="Times New Roman" w:eastAsia="宋体" w:cs="Times New Roman"/>
          <w:sz w:val="18"/>
          <w:szCs w:val="18"/>
        </w:rPr>
        <w:t xml:space="preserve">ublic </w:t>
      </w:r>
      <w:r>
        <w:rPr>
          <w:rFonts w:hint="eastAsia" w:ascii="Times New Roman" w:hAnsi="Times New Roman" w:eastAsia="宋体" w:cs="Times New Roman"/>
          <w:sz w:val="18"/>
          <w:szCs w:val="18"/>
        </w:rPr>
        <w:t>E</w:t>
      </w:r>
      <w:r>
        <w:rPr>
          <w:rFonts w:ascii="Times New Roman" w:hAnsi="Times New Roman" w:eastAsia="宋体" w:cs="Times New Roman"/>
          <w:sz w:val="18"/>
          <w:szCs w:val="18"/>
        </w:rPr>
        <w:t>conomics,</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2011(11-12).</w:t>
      </w:r>
    </w:p>
    <w:p w14:paraId="2C160B29">
      <w:pPr>
        <w:spacing w:line="324" w:lineRule="exact"/>
        <w:ind w:firstLine="360" w:firstLineChars="200"/>
        <w:rPr>
          <w:rFonts w:ascii="宋体" w:hAnsi="宋体" w:eastAsia="宋体" w:cs="宋体"/>
          <w:sz w:val="18"/>
          <w:szCs w:val="18"/>
        </w:rPr>
      </w:pPr>
      <w:r>
        <w:rPr>
          <w:rFonts w:hint="eastAsia" w:ascii="Times New Roman" w:hAnsi="Times New Roman" w:eastAsia="宋体" w:cs="Times New Roman"/>
          <w:sz w:val="18"/>
          <w:szCs w:val="18"/>
        </w:rPr>
        <w:t xml:space="preserve">[5] </w:t>
      </w:r>
      <w:r>
        <w:rPr>
          <w:rFonts w:hint="eastAsia" w:ascii="宋体" w:hAnsi="宋体" w:eastAsia="宋体" w:cs="宋体"/>
          <w:sz w:val="18"/>
          <w:szCs w:val="18"/>
        </w:rPr>
        <w:t>夏怡然，陆铭. 城市间的“孟母三迁”——公共服务影响劳动力流向的经验研究</w:t>
      </w:r>
      <w:r>
        <w:rPr>
          <w:rFonts w:hint="eastAsia" w:ascii="Times New Roman" w:hAnsi="Times New Roman" w:eastAsia="宋体" w:cs="Times New Roman"/>
          <w:sz w:val="18"/>
          <w:szCs w:val="18"/>
        </w:rPr>
        <w:t>[J]</w:t>
      </w:r>
      <w:r>
        <w:rPr>
          <w:rFonts w:hint="eastAsia" w:ascii="宋体" w:hAnsi="宋体" w:eastAsia="宋体" w:cs="宋体"/>
          <w:sz w:val="18"/>
          <w:szCs w:val="18"/>
        </w:rPr>
        <w:t>. 管理世界，</w:t>
      </w:r>
      <w:r>
        <w:rPr>
          <w:rFonts w:hint="eastAsia" w:ascii="Times New Roman" w:hAnsi="Times New Roman" w:eastAsia="宋体" w:cs="Times New Roman"/>
          <w:sz w:val="18"/>
          <w:szCs w:val="18"/>
        </w:rPr>
        <w:t>2015(10)</w:t>
      </w:r>
      <w:r>
        <w:rPr>
          <w:rFonts w:hint="eastAsia" w:ascii="宋体" w:hAnsi="宋体" w:eastAsia="宋体" w:cs="宋体"/>
          <w:sz w:val="18"/>
          <w:szCs w:val="18"/>
        </w:rPr>
        <w:t>.</w:t>
      </w:r>
    </w:p>
    <w:p w14:paraId="08C13252">
      <w:pPr>
        <w:spacing w:line="324" w:lineRule="exact"/>
        <w:ind w:firstLine="360" w:firstLineChars="200"/>
        <w:rPr>
          <w:rFonts w:ascii="Times New Roman" w:hAnsi="Times New Roman" w:eastAsia="宋体" w:cs="Times New Roman"/>
          <w:sz w:val="18"/>
          <w:szCs w:val="18"/>
        </w:rPr>
      </w:pPr>
      <w:r>
        <w:rPr>
          <w:rFonts w:ascii="Times New Roman" w:hAnsi="Times New Roman" w:eastAsia="宋体" w:cs="Times New Roman"/>
          <w:sz w:val="18"/>
          <w:szCs w:val="18"/>
        </w:rPr>
        <w:t>[</w:t>
      </w:r>
      <w:r>
        <w:rPr>
          <w:rFonts w:hint="eastAsia" w:ascii="Times New Roman" w:hAnsi="Times New Roman" w:eastAsia="宋体" w:cs="Times New Roman"/>
          <w:sz w:val="18"/>
          <w:szCs w:val="18"/>
        </w:rPr>
        <w:t>6</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De</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B</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Alan, J</w:t>
      </w:r>
      <w:r>
        <w:rPr>
          <w:rFonts w:hint="eastAsia" w:ascii="Times New Roman" w:hAnsi="Times New Roman" w:eastAsia="宋体" w:cs="Times New Roman"/>
          <w:sz w:val="18"/>
          <w:szCs w:val="18"/>
        </w:rPr>
        <w:t xml:space="preserve"> K </w:t>
      </w:r>
      <w:r>
        <w:rPr>
          <w:rFonts w:ascii="Times New Roman" w:hAnsi="Times New Roman" w:eastAsia="宋体" w:cs="Times New Roman"/>
          <w:sz w:val="18"/>
          <w:szCs w:val="18"/>
        </w:rPr>
        <w:t>Huang</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S</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Rozelle</w:t>
      </w:r>
      <w:r>
        <w:rPr>
          <w:rFonts w:hint="eastAsia" w:ascii="Times New Roman" w:hAnsi="Times New Roman" w:eastAsia="宋体" w:cs="Times New Roman"/>
          <w:sz w:val="18"/>
          <w:szCs w:val="18"/>
        </w:rPr>
        <w:t>,</w:t>
      </w:r>
      <w:r>
        <w:rPr>
          <w:rFonts w:ascii="Arial" w:hAnsi="Arial" w:cs="Arial"/>
          <w:color w:val="222222"/>
          <w:sz w:val="18"/>
          <w:szCs w:val="18"/>
          <w:shd w:val="clear" w:color="auto" w:fill="FFFFFF"/>
        </w:rPr>
        <w:t xml:space="preserve"> </w:t>
      </w:r>
      <w:r>
        <w:rPr>
          <w:rFonts w:ascii="Times New Roman" w:hAnsi="Times New Roman" w:cs="Times New Roman"/>
          <w:color w:val="222222"/>
          <w:sz w:val="18"/>
          <w:szCs w:val="18"/>
          <w:shd w:val="clear" w:color="auto" w:fill="FFFFFF"/>
        </w:rPr>
        <w:t>et al</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 xml:space="preserve">The </w:t>
      </w:r>
      <w:r>
        <w:rPr>
          <w:rFonts w:hint="eastAsia" w:ascii="Times New Roman" w:hAnsi="Times New Roman" w:eastAsia="宋体" w:cs="Times New Roman"/>
          <w:sz w:val="18"/>
          <w:szCs w:val="18"/>
        </w:rPr>
        <w:t>E</w:t>
      </w:r>
      <w:r>
        <w:rPr>
          <w:rFonts w:ascii="Times New Roman" w:hAnsi="Times New Roman" w:eastAsia="宋体" w:cs="Times New Roman"/>
          <w:sz w:val="18"/>
          <w:szCs w:val="18"/>
        </w:rPr>
        <w:t xml:space="preserve">volution of </w:t>
      </w:r>
      <w:r>
        <w:rPr>
          <w:rFonts w:hint="eastAsia" w:ascii="Times New Roman" w:hAnsi="Times New Roman" w:eastAsia="宋体" w:cs="Times New Roman"/>
          <w:sz w:val="18"/>
          <w:szCs w:val="18"/>
        </w:rPr>
        <w:t>C</w:t>
      </w:r>
      <w:r>
        <w:rPr>
          <w:rFonts w:ascii="Times New Roman" w:hAnsi="Times New Roman" w:eastAsia="宋体" w:cs="Times New Roman"/>
          <w:sz w:val="18"/>
          <w:szCs w:val="18"/>
        </w:rPr>
        <w:t xml:space="preserve">hina's </w:t>
      </w:r>
      <w:r>
        <w:rPr>
          <w:rFonts w:hint="eastAsia" w:ascii="Times New Roman" w:hAnsi="Times New Roman" w:eastAsia="宋体" w:cs="Times New Roman"/>
          <w:sz w:val="18"/>
          <w:szCs w:val="18"/>
        </w:rPr>
        <w:t>R</w:t>
      </w:r>
      <w:r>
        <w:rPr>
          <w:rFonts w:ascii="Times New Roman" w:hAnsi="Times New Roman" w:eastAsia="宋体" w:cs="Times New Roman"/>
          <w:sz w:val="18"/>
          <w:szCs w:val="18"/>
        </w:rPr>
        <w:t xml:space="preserve">ural </w:t>
      </w:r>
      <w:r>
        <w:rPr>
          <w:rFonts w:hint="eastAsia" w:ascii="Times New Roman" w:hAnsi="Times New Roman" w:eastAsia="宋体" w:cs="Times New Roman"/>
          <w:sz w:val="18"/>
          <w:szCs w:val="18"/>
        </w:rPr>
        <w:t>L</w:t>
      </w:r>
      <w:r>
        <w:rPr>
          <w:rFonts w:ascii="Times New Roman" w:hAnsi="Times New Roman" w:eastAsia="宋体" w:cs="Times New Roman"/>
          <w:sz w:val="18"/>
          <w:szCs w:val="18"/>
        </w:rPr>
        <w:t xml:space="preserve">abor </w:t>
      </w:r>
      <w:r>
        <w:rPr>
          <w:rFonts w:hint="eastAsia" w:ascii="Times New Roman" w:hAnsi="Times New Roman" w:eastAsia="宋体" w:cs="Times New Roman"/>
          <w:sz w:val="18"/>
          <w:szCs w:val="18"/>
        </w:rPr>
        <w:t>M</w:t>
      </w:r>
      <w:r>
        <w:rPr>
          <w:rFonts w:ascii="Times New Roman" w:hAnsi="Times New Roman" w:eastAsia="宋体" w:cs="Times New Roman"/>
          <w:sz w:val="18"/>
          <w:szCs w:val="18"/>
        </w:rPr>
        <w:t xml:space="preserve">arkets </w:t>
      </w:r>
      <w:r>
        <w:rPr>
          <w:rFonts w:hint="eastAsia" w:ascii="Times New Roman" w:hAnsi="Times New Roman" w:eastAsia="宋体" w:cs="Times New Roman"/>
          <w:sz w:val="18"/>
          <w:szCs w:val="18"/>
        </w:rPr>
        <w:t>d</w:t>
      </w:r>
      <w:r>
        <w:rPr>
          <w:rFonts w:ascii="Times New Roman" w:hAnsi="Times New Roman" w:eastAsia="宋体" w:cs="Times New Roman"/>
          <w:sz w:val="18"/>
          <w:szCs w:val="18"/>
        </w:rPr>
        <w:t>uring the</w:t>
      </w:r>
      <w:r>
        <w:rPr>
          <w:rFonts w:hint="eastAsia" w:ascii="Times New Roman" w:hAnsi="Times New Roman" w:eastAsia="宋体" w:cs="Times New Roman"/>
          <w:sz w:val="18"/>
          <w:szCs w:val="18"/>
        </w:rPr>
        <w:t xml:space="preserve"> R</w:t>
      </w:r>
      <w:r>
        <w:rPr>
          <w:rFonts w:ascii="Times New Roman" w:hAnsi="Times New Roman" w:eastAsia="宋体" w:cs="Times New Roman"/>
          <w:sz w:val="18"/>
          <w:szCs w:val="18"/>
        </w:rPr>
        <w:t>eforms[J].</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 xml:space="preserve">Journal of </w:t>
      </w:r>
      <w:r>
        <w:rPr>
          <w:rFonts w:hint="eastAsia" w:ascii="Times New Roman" w:hAnsi="Times New Roman" w:eastAsia="宋体" w:cs="Times New Roman"/>
          <w:sz w:val="18"/>
          <w:szCs w:val="18"/>
        </w:rPr>
        <w:t>C</w:t>
      </w:r>
      <w:r>
        <w:rPr>
          <w:rFonts w:ascii="Times New Roman" w:hAnsi="Times New Roman" w:eastAsia="宋体" w:cs="Times New Roman"/>
          <w:sz w:val="18"/>
          <w:szCs w:val="18"/>
        </w:rPr>
        <w:t xml:space="preserve">omparative </w:t>
      </w:r>
      <w:r>
        <w:rPr>
          <w:rFonts w:hint="eastAsia" w:ascii="Times New Roman" w:hAnsi="Times New Roman" w:eastAsia="宋体" w:cs="Times New Roman"/>
          <w:sz w:val="18"/>
          <w:szCs w:val="18"/>
        </w:rPr>
        <w:t>E</w:t>
      </w:r>
      <w:r>
        <w:rPr>
          <w:rFonts w:ascii="Times New Roman" w:hAnsi="Times New Roman" w:eastAsia="宋体" w:cs="Times New Roman"/>
          <w:sz w:val="18"/>
          <w:szCs w:val="18"/>
        </w:rPr>
        <w:t>conomics,</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2002 (2)</w:t>
      </w:r>
      <w:r>
        <w:rPr>
          <w:rFonts w:hint="eastAsia" w:ascii="Times New Roman" w:hAnsi="Times New Roman" w:eastAsia="宋体" w:cs="Times New Roman"/>
          <w:sz w:val="18"/>
          <w:szCs w:val="18"/>
        </w:rPr>
        <w:t>.</w:t>
      </w:r>
    </w:p>
    <w:p w14:paraId="0B5830B3">
      <w:pPr>
        <w:spacing w:line="324" w:lineRule="exact"/>
        <w:ind w:firstLine="360" w:firstLineChars="200"/>
        <w:rPr>
          <w:rFonts w:ascii="宋体" w:hAnsi="宋体" w:eastAsia="宋体" w:cs="宋体"/>
          <w:sz w:val="18"/>
          <w:szCs w:val="18"/>
        </w:rPr>
      </w:pPr>
      <w:r>
        <w:rPr>
          <w:rFonts w:hint="eastAsia" w:ascii="Times New Roman" w:hAnsi="Times New Roman" w:eastAsia="宋体" w:cs="Times New Roman"/>
          <w:sz w:val="18"/>
          <w:szCs w:val="18"/>
        </w:rPr>
        <w:t xml:space="preserve">[7] </w:t>
      </w:r>
      <w:r>
        <w:rPr>
          <w:rFonts w:hint="eastAsia" w:ascii="宋体" w:hAnsi="宋体" w:eastAsia="宋体" w:cs="宋体"/>
          <w:sz w:val="18"/>
          <w:szCs w:val="18"/>
        </w:rPr>
        <w:t>彭建刚，李关政. 我国金融发展与二元经济结构内在关系实证分析</w:t>
      </w:r>
      <w:r>
        <w:rPr>
          <w:rFonts w:hint="eastAsia" w:ascii="Times New Roman" w:hAnsi="Times New Roman" w:eastAsia="宋体" w:cs="Times New Roman"/>
          <w:sz w:val="18"/>
          <w:szCs w:val="18"/>
        </w:rPr>
        <w:t>[J].</w:t>
      </w:r>
      <w:r>
        <w:rPr>
          <w:rFonts w:hint="eastAsia" w:ascii="宋体" w:hAnsi="宋体" w:eastAsia="宋体" w:cs="宋体"/>
          <w:sz w:val="18"/>
          <w:szCs w:val="18"/>
        </w:rPr>
        <w:t xml:space="preserve"> 金融研究，</w:t>
      </w:r>
      <w:r>
        <w:rPr>
          <w:rFonts w:hint="eastAsia" w:ascii="Times New Roman" w:hAnsi="Times New Roman" w:eastAsia="宋体" w:cs="Times New Roman"/>
          <w:sz w:val="18"/>
          <w:szCs w:val="18"/>
        </w:rPr>
        <w:t>2006(4).</w:t>
      </w:r>
    </w:p>
    <w:p w14:paraId="7D49BF81">
      <w:pPr>
        <w:spacing w:line="324" w:lineRule="exact"/>
        <w:ind w:firstLine="360" w:firstLineChars="200"/>
        <w:rPr>
          <w:rFonts w:ascii="Times New Roman" w:hAnsi="Times New Roman" w:eastAsia="宋体" w:cs="Times New Roman"/>
          <w:sz w:val="18"/>
          <w:szCs w:val="18"/>
          <w:lang w:val="en-US"/>
        </w:rPr>
      </w:pPr>
      <w:r>
        <w:rPr>
          <w:rFonts w:ascii="Times New Roman" w:hAnsi="Times New Roman" w:eastAsia="宋体" w:cs="Times New Roman"/>
          <w:sz w:val="18"/>
          <w:szCs w:val="18"/>
        </w:rPr>
        <w:t>[</w:t>
      </w:r>
      <w:r>
        <w:rPr>
          <w:rFonts w:hint="eastAsia" w:ascii="Times New Roman" w:hAnsi="Times New Roman" w:eastAsia="宋体" w:cs="Times New Roman"/>
          <w:sz w:val="18"/>
          <w:szCs w:val="18"/>
        </w:rPr>
        <w:t>8</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Benin</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Samuel</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Impact of Ghana's</w:t>
      </w:r>
      <w:r>
        <w:rPr>
          <w:rFonts w:hint="eastAsia" w:ascii="Times New Roman" w:hAnsi="Times New Roman" w:eastAsia="宋体" w:cs="Times New Roman"/>
          <w:sz w:val="18"/>
          <w:szCs w:val="18"/>
        </w:rPr>
        <w:t xml:space="preserve"> A</w:t>
      </w:r>
      <w:r>
        <w:rPr>
          <w:rFonts w:ascii="Times New Roman" w:hAnsi="Times New Roman" w:eastAsia="宋体" w:cs="Times New Roman"/>
          <w:sz w:val="18"/>
          <w:szCs w:val="18"/>
          <w:lang w:val="en-US"/>
        </w:rPr>
        <w:t xml:space="preserve">gricultural </w:t>
      </w:r>
      <w:r>
        <w:rPr>
          <w:rFonts w:hint="eastAsia" w:ascii="Times New Roman" w:hAnsi="Times New Roman" w:eastAsia="宋体" w:cs="Times New Roman"/>
          <w:sz w:val="18"/>
          <w:szCs w:val="18"/>
        </w:rPr>
        <w:t>M</w:t>
      </w:r>
      <w:r>
        <w:rPr>
          <w:rFonts w:ascii="Times New Roman" w:hAnsi="Times New Roman" w:eastAsia="宋体" w:cs="Times New Roman"/>
          <w:sz w:val="18"/>
          <w:szCs w:val="18"/>
          <w:lang w:val="en-US"/>
        </w:rPr>
        <w:t xml:space="preserve">echanization </w:t>
      </w:r>
      <w:r>
        <w:rPr>
          <w:rFonts w:hint="eastAsia" w:ascii="Times New Roman" w:hAnsi="Times New Roman" w:eastAsia="宋体" w:cs="Times New Roman"/>
          <w:sz w:val="18"/>
          <w:szCs w:val="18"/>
        </w:rPr>
        <w:t>S</w:t>
      </w:r>
      <w:r>
        <w:rPr>
          <w:rFonts w:ascii="Times New Roman" w:hAnsi="Times New Roman" w:eastAsia="宋体" w:cs="Times New Roman"/>
          <w:sz w:val="18"/>
          <w:szCs w:val="18"/>
          <w:lang w:val="en-US"/>
        </w:rPr>
        <w:t xml:space="preserve">ervices </w:t>
      </w:r>
      <w:r>
        <w:rPr>
          <w:rFonts w:hint="eastAsia" w:ascii="Times New Roman" w:hAnsi="Times New Roman" w:eastAsia="宋体" w:cs="Times New Roman"/>
          <w:sz w:val="18"/>
          <w:szCs w:val="18"/>
        </w:rPr>
        <w:t>C</w:t>
      </w:r>
      <w:r>
        <w:rPr>
          <w:rFonts w:ascii="Times New Roman" w:hAnsi="Times New Roman" w:eastAsia="宋体" w:cs="Times New Roman"/>
          <w:sz w:val="18"/>
          <w:szCs w:val="18"/>
          <w:lang w:val="en-US"/>
        </w:rPr>
        <w:t xml:space="preserve">enter </w:t>
      </w:r>
      <w:r>
        <w:rPr>
          <w:rFonts w:hint="eastAsia" w:ascii="Times New Roman" w:hAnsi="Times New Roman" w:eastAsia="宋体" w:cs="Times New Roman"/>
          <w:sz w:val="18"/>
          <w:szCs w:val="18"/>
        </w:rPr>
        <w:t>P</w:t>
      </w:r>
      <w:r>
        <w:rPr>
          <w:rFonts w:ascii="Times New Roman" w:hAnsi="Times New Roman" w:eastAsia="宋体" w:cs="Times New Roman"/>
          <w:sz w:val="18"/>
          <w:szCs w:val="18"/>
          <w:lang w:val="en-US"/>
        </w:rPr>
        <w:t xml:space="preserve">rogram[J]. </w:t>
      </w:r>
      <w:r>
        <w:rPr>
          <w:rFonts w:hint="eastAsia" w:ascii="Times New Roman" w:hAnsi="Times New Roman" w:eastAsia="宋体" w:cs="Times New Roman"/>
          <w:sz w:val="18"/>
          <w:szCs w:val="18"/>
        </w:rPr>
        <w:t>A</w:t>
      </w:r>
      <w:r>
        <w:rPr>
          <w:rFonts w:ascii="Times New Roman" w:hAnsi="Times New Roman" w:eastAsia="宋体" w:cs="Times New Roman"/>
          <w:sz w:val="18"/>
          <w:szCs w:val="18"/>
          <w:lang w:val="en-US"/>
        </w:rPr>
        <w:t xml:space="preserve">gricultural </w:t>
      </w:r>
      <w:r>
        <w:rPr>
          <w:rFonts w:hint="eastAsia" w:ascii="Times New Roman" w:hAnsi="Times New Roman" w:eastAsia="宋体" w:cs="Times New Roman"/>
          <w:sz w:val="18"/>
          <w:szCs w:val="18"/>
        </w:rPr>
        <w:t>E</w:t>
      </w:r>
      <w:r>
        <w:rPr>
          <w:rFonts w:ascii="Times New Roman" w:hAnsi="Times New Roman" w:eastAsia="宋体" w:cs="Times New Roman"/>
          <w:sz w:val="18"/>
          <w:szCs w:val="18"/>
          <w:lang w:val="en-US"/>
        </w:rPr>
        <w:t>conomics, 2015(S1).</w:t>
      </w:r>
    </w:p>
    <w:p w14:paraId="6294DDCB">
      <w:pPr>
        <w:spacing w:line="324" w:lineRule="exact"/>
        <w:ind w:firstLine="360" w:firstLineChars="200"/>
        <w:rPr>
          <w:rFonts w:ascii="Times New Roman" w:hAnsi="Times New Roman" w:eastAsia="宋体" w:cs="Times New Roman"/>
          <w:sz w:val="18"/>
          <w:szCs w:val="18"/>
          <w:lang w:val="zh-CN"/>
        </w:rPr>
      </w:pPr>
      <w:r>
        <w:rPr>
          <w:rFonts w:ascii="Times New Roman" w:hAnsi="Times New Roman" w:eastAsia="宋体" w:cs="Times New Roman"/>
          <w:sz w:val="18"/>
          <w:szCs w:val="18"/>
        </w:rPr>
        <w:t>[</w:t>
      </w:r>
      <w:r>
        <w:rPr>
          <w:rFonts w:hint="eastAsia" w:ascii="Times New Roman" w:hAnsi="Times New Roman" w:eastAsia="宋体" w:cs="Times New Roman"/>
          <w:sz w:val="18"/>
          <w:szCs w:val="18"/>
        </w:rPr>
        <w:t>9</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Wang</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X,</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F</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Yamauchi</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J</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Huang.</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en-US"/>
        </w:rPr>
        <w:t xml:space="preserve">Rising </w:t>
      </w:r>
      <w:r>
        <w:rPr>
          <w:rFonts w:hint="eastAsia" w:ascii="Times New Roman" w:hAnsi="Times New Roman" w:eastAsia="宋体" w:cs="Times New Roman"/>
          <w:sz w:val="18"/>
          <w:szCs w:val="18"/>
        </w:rPr>
        <w:t>W</w:t>
      </w:r>
      <w:r>
        <w:rPr>
          <w:rFonts w:ascii="Times New Roman" w:hAnsi="Times New Roman" w:eastAsia="宋体" w:cs="Times New Roman"/>
          <w:sz w:val="18"/>
          <w:szCs w:val="18"/>
          <w:lang w:val="en-US"/>
        </w:rPr>
        <w:t xml:space="preserve">ages, </w:t>
      </w:r>
      <w:r>
        <w:rPr>
          <w:rFonts w:hint="eastAsia" w:ascii="Times New Roman" w:hAnsi="Times New Roman" w:eastAsia="宋体" w:cs="Times New Roman"/>
          <w:sz w:val="18"/>
          <w:szCs w:val="18"/>
        </w:rPr>
        <w:t>M</w:t>
      </w:r>
      <w:r>
        <w:rPr>
          <w:rFonts w:ascii="Times New Roman" w:hAnsi="Times New Roman" w:eastAsia="宋体" w:cs="Times New Roman"/>
          <w:sz w:val="18"/>
          <w:szCs w:val="18"/>
          <w:lang w:val="en-US"/>
        </w:rPr>
        <w:t xml:space="preserve">echanization, and the </w:t>
      </w:r>
      <w:r>
        <w:rPr>
          <w:rFonts w:hint="eastAsia" w:ascii="Times New Roman" w:hAnsi="Times New Roman" w:eastAsia="宋体" w:cs="Times New Roman"/>
          <w:sz w:val="18"/>
          <w:szCs w:val="18"/>
        </w:rPr>
        <w:t>S</w:t>
      </w:r>
      <w:r>
        <w:rPr>
          <w:rFonts w:ascii="Times New Roman" w:hAnsi="Times New Roman" w:eastAsia="宋体" w:cs="Times New Roman"/>
          <w:sz w:val="18"/>
          <w:szCs w:val="18"/>
          <w:lang w:val="en-US"/>
        </w:rPr>
        <w:t xml:space="preserve">ubstitution between </w:t>
      </w:r>
      <w:r>
        <w:rPr>
          <w:rFonts w:hint="eastAsia" w:ascii="Times New Roman" w:hAnsi="Times New Roman" w:eastAsia="宋体" w:cs="Times New Roman"/>
          <w:sz w:val="18"/>
          <w:szCs w:val="18"/>
        </w:rPr>
        <w:t>C</w:t>
      </w:r>
      <w:r>
        <w:rPr>
          <w:rFonts w:ascii="Times New Roman" w:hAnsi="Times New Roman" w:eastAsia="宋体" w:cs="Times New Roman"/>
          <w:sz w:val="18"/>
          <w:szCs w:val="18"/>
          <w:lang w:val="en-US"/>
        </w:rPr>
        <w:t xml:space="preserve">apital and </w:t>
      </w:r>
      <w:r>
        <w:rPr>
          <w:rFonts w:hint="eastAsia" w:ascii="Times New Roman" w:hAnsi="Times New Roman" w:eastAsia="宋体" w:cs="Times New Roman"/>
          <w:sz w:val="18"/>
          <w:szCs w:val="18"/>
        </w:rPr>
        <w:t>L</w:t>
      </w:r>
      <w:r>
        <w:rPr>
          <w:rFonts w:ascii="Times New Roman" w:hAnsi="Times New Roman" w:eastAsia="宋体" w:cs="Times New Roman"/>
          <w:sz w:val="18"/>
          <w:szCs w:val="18"/>
          <w:lang w:val="en-US"/>
        </w:rPr>
        <w:t xml:space="preserve">abor: </w:t>
      </w:r>
      <w:r>
        <w:rPr>
          <w:rFonts w:hint="eastAsia" w:ascii="Times New Roman" w:hAnsi="Times New Roman" w:eastAsia="宋体" w:cs="Times New Roman"/>
          <w:sz w:val="18"/>
          <w:szCs w:val="18"/>
        </w:rPr>
        <w:t>E</w:t>
      </w:r>
      <w:r>
        <w:rPr>
          <w:rFonts w:ascii="Times New Roman" w:hAnsi="Times New Roman" w:eastAsia="宋体" w:cs="Times New Roman"/>
          <w:sz w:val="18"/>
          <w:szCs w:val="18"/>
          <w:lang w:val="en-US"/>
        </w:rPr>
        <w:t xml:space="preserve">vidence from </w:t>
      </w:r>
      <w:r>
        <w:rPr>
          <w:rFonts w:hint="eastAsia" w:ascii="Times New Roman" w:hAnsi="Times New Roman" w:eastAsia="宋体" w:cs="Times New Roman"/>
          <w:sz w:val="18"/>
          <w:szCs w:val="18"/>
        </w:rPr>
        <w:t>S</w:t>
      </w:r>
      <w:r>
        <w:rPr>
          <w:rFonts w:ascii="Times New Roman" w:hAnsi="Times New Roman" w:eastAsia="宋体" w:cs="Times New Roman"/>
          <w:sz w:val="18"/>
          <w:szCs w:val="18"/>
          <w:lang w:val="en-US"/>
        </w:rPr>
        <w:t xml:space="preserve">mall </w:t>
      </w:r>
      <w:r>
        <w:rPr>
          <w:rFonts w:hint="eastAsia" w:ascii="Times New Roman" w:hAnsi="Times New Roman" w:eastAsia="宋体" w:cs="Times New Roman"/>
          <w:sz w:val="18"/>
          <w:szCs w:val="18"/>
        </w:rPr>
        <w:t>S</w:t>
      </w:r>
      <w:r>
        <w:rPr>
          <w:rFonts w:ascii="Times New Roman" w:hAnsi="Times New Roman" w:eastAsia="宋体" w:cs="Times New Roman"/>
          <w:sz w:val="18"/>
          <w:szCs w:val="18"/>
          <w:lang w:val="en-US"/>
        </w:rPr>
        <w:t>cale</w:t>
      </w:r>
      <w:r>
        <w:rPr>
          <w:rFonts w:hint="eastAsia" w:ascii="Times New Roman" w:hAnsi="Times New Roman" w:eastAsia="宋体" w:cs="Times New Roman"/>
          <w:sz w:val="18"/>
          <w:szCs w:val="18"/>
        </w:rPr>
        <w:t xml:space="preserve"> F</w:t>
      </w:r>
      <w:r>
        <w:rPr>
          <w:rFonts w:ascii="Times New Roman" w:hAnsi="Times New Roman" w:eastAsia="宋体" w:cs="Times New Roman"/>
          <w:sz w:val="18"/>
          <w:szCs w:val="18"/>
          <w:lang w:val="en-US"/>
        </w:rPr>
        <w:t xml:space="preserve">arm </w:t>
      </w:r>
      <w:r>
        <w:rPr>
          <w:rFonts w:hint="eastAsia" w:ascii="Times New Roman" w:hAnsi="Times New Roman" w:eastAsia="宋体" w:cs="Times New Roman"/>
          <w:sz w:val="18"/>
          <w:szCs w:val="18"/>
        </w:rPr>
        <w:t>S</w:t>
      </w:r>
      <w:r>
        <w:rPr>
          <w:rFonts w:ascii="Times New Roman" w:hAnsi="Times New Roman" w:eastAsia="宋体" w:cs="Times New Roman"/>
          <w:sz w:val="18"/>
          <w:szCs w:val="18"/>
          <w:lang w:val="en-US"/>
        </w:rPr>
        <w:t>ystem in China[J].</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lang w:val="zh-CN"/>
        </w:rPr>
        <w:t xml:space="preserve">Agricultural </w:t>
      </w:r>
      <w:r>
        <w:rPr>
          <w:rFonts w:hint="eastAsia" w:ascii="Times New Roman" w:hAnsi="Times New Roman" w:eastAsia="宋体" w:cs="Times New Roman"/>
          <w:sz w:val="18"/>
          <w:szCs w:val="18"/>
        </w:rPr>
        <w:t>E</w:t>
      </w:r>
      <w:r>
        <w:rPr>
          <w:rFonts w:ascii="Times New Roman" w:hAnsi="Times New Roman" w:eastAsia="宋体" w:cs="Times New Roman"/>
          <w:sz w:val="18"/>
          <w:szCs w:val="18"/>
          <w:lang w:val="zh-CN"/>
        </w:rPr>
        <w:t>conomics, 2016(3).</w:t>
      </w:r>
    </w:p>
    <w:p w14:paraId="5C53E29A">
      <w:pPr>
        <w:spacing w:line="324" w:lineRule="exact"/>
        <w:ind w:firstLine="360" w:firstLineChars="200"/>
        <w:rPr>
          <w:rFonts w:ascii="Times New Roman" w:hAnsi="Times New Roman" w:eastAsia="宋体" w:cs="Times New Roman"/>
          <w:sz w:val="18"/>
          <w:szCs w:val="18"/>
          <w:lang w:val="zh-CN"/>
        </w:rPr>
      </w:pPr>
      <w:r>
        <w:rPr>
          <w:rFonts w:hint="eastAsia" w:ascii="Times New Roman" w:hAnsi="Times New Roman" w:eastAsia="宋体" w:cs="Times New Roman"/>
          <w:sz w:val="18"/>
          <w:szCs w:val="18"/>
          <w:lang w:val="zh-CN"/>
        </w:rPr>
        <w:t>[</w:t>
      </w:r>
      <w:r>
        <w:rPr>
          <w:rFonts w:hint="eastAsia" w:ascii="Times New Roman" w:hAnsi="Times New Roman" w:eastAsia="宋体" w:cs="Times New Roman"/>
          <w:sz w:val="18"/>
          <w:szCs w:val="18"/>
        </w:rPr>
        <w:t>10</w:t>
      </w:r>
      <w:r>
        <w:rPr>
          <w:rFonts w:hint="eastAsia" w:ascii="Times New Roman" w:hAnsi="Times New Roman" w:eastAsia="宋体" w:cs="Times New Roman"/>
          <w:sz w:val="18"/>
          <w:szCs w:val="18"/>
          <w:lang w:val="zh-CN"/>
        </w:rPr>
        <w:t>]</w:t>
      </w:r>
      <w:r>
        <w:rPr>
          <w:rFonts w:hint="eastAsia" w:ascii="Times New Roman" w:hAnsi="Times New Roman" w:eastAsia="宋体" w:cs="Times New Roman"/>
          <w:sz w:val="18"/>
          <w:szCs w:val="18"/>
        </w:rPr>
        <w:t xml:space="preserve"> </w:t>
      </w:r>
      <w:r>
        <w:rPr>
          <w:rFonts w:hint="eastAsia" w:ascii="Times New Roman" w:hAnsi="Times New Roman" w:eastAsia="宋体" w:cs="Times New Roman"/>
          <w:sz w:val="18"/>
          <w:szCs w:val="18"/>
          <w:lang w:val="zh-CN"/>
        </w:rPr>
        <w:t>刘</w:t>
      </w:r>
      <w:r>
        <w:rPr>
          <w:rFonts w:hint="eastAsia" w:ascii="宋体" w:hAnsi="宋体" w:eastAsia="宋体" w:cs="宋体"/>
          <w:sz w:val="18"/>
          <w:szCs w:val="18"/>
          <w:lang w:val="zh-CN"/>
        </w:rPr>
        <w:t>洪银.</w:t>
      </w:r>
      <w:r>
        <w:rPr>
          <w:rFonts w:hint="eastAsia" w:ascii="宋体" w:hAnsi="宋体" w:eastAsia="宋体" w:cs="宋体"/>
          <w:sz w:val="18"/>
          <w:szCs w:val="18"/>
        </w:rPr>
        <w:t xml:space="preserve"> </w:t>
      </w:r>
      <w:r>
        <w:rPr>
          <w:rFonts w:hint="eastAsia" w:ascii="宋体" w:hAnsi="宋体" w:eastAsia="宋体" w:cs="宋体"/>
          <w:sz w:val="18"/>
          <w:szCs w:val="18"/>
          <w:lang w:val="zh-CN"/>
        </w:rPr>
        <w:t>技术进步影响农村劳动力转移的条件和机理</w:t>
      </w:r>
      <w:r>
        <w:rPr>
          <w:rFonts w:hint="eastAsia" w:ascii="Times New Roman" w:hAnsi="Times New Roman" w:eastAsia="宋体" w:cs="Times New Roman"/>
          <w:sz w:val="18"/>
          <w:szCs w:val="18"/>
          <w:lang w:val="zh-CN"/>
        </w:rPr>
        <w:t>[J]</w:t>
      </w:r>
      <w:r>
        <w:rPr>
          <w:rFonts w:hint="eastAsia" w:ascii="Times New Roman" w:hAnsi="Times New Roman" w:eastAsia="宋体" w:cs="Times New Roman"/>
          <w:sz w:val="18"/>
          <w:szCs w:val="18"/>
        </w:rPr>
        <w:t xml:space="preserve">. </w:t>
      </w:r>
      <w:r>
        <w:rPr>
          <w:rFonts w:hint="eastAsia" w:ascii="宋体" w:hAnsi="宋体" w:eastAsia="宋体" w:cs="宋体"/>
          <w:sz w:val="18"/>
          <w:szCs w:val="18"/>
          <w:lang w:val="zh-CN"/>
        </w:rPr>
        <w:t>软科学，</w:t>
      </w:r>
      <w:r>
        <w:rPr>
          <w:rFonts w:hint="eastAsia" w:ascii="Times New Roman" w:hAnsi="Times New Roman" w:eastAsia="宋体" w:cs="Times New Roman"/>
          <w:sz w:val="18"/>
          <w:szCs w:val="18"/>
          <w:lang w:val="zh-CN"/>
        </w:rPr>
        <w:t>2011</w:t>
      </w: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zh-CN"/>
        </w:rPr>
        <w:t>7</w:t>
      </w: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zh-CN"/>
        </w:rPr>
        <w:t>.</w:t>
      </w:r>
    </w:p>
    <w:p w14:paraId="32892262">
      <w:pPr>
        <w:spacing w:line="324" w:lineRule="exact"/>
        <w:ind w:firstLine="360" w:firstLineChars="200"/>
        <w:rPr>
          <w:rFonts w:ascii="宋体" w:hAnsi="宋体" w:eastAsia="宋体" w:cs="宋体"/>
          <w:sz w:val="18"/>
          <w:szCs w:val="18"/>
        </w:rPr>
      </w:pPr>
      <w:r>
        <w:rPr>
          <w:rFonts w:hint="eastAsia" w:ascii="Times New Roman" w:hAnsi="Times New Roman" w:eastAsia="宋体" w:cs="Times New Roman"/>
          <w:sz w:val="18"/>
          <w:szCs w:val="18"/>
          <w:lang w:val="zh-CN"/>
        </w:rPr>
        <w:t>[</w:t>
      </w:r>
      <w:r>
        <w:rPr>
          <w:rFonts w:hint="eastAsia" w:ascii="Times New Roman" w:hAnsi="Times New Roman" w:eastAsia="宋体" w:cs="Times New Roman"/>
          <w:sz w:val="18"/>
          <w:szCs w:val="18"/>
        </w:rPr>
        <w:t>11</w:t>
      </w:r>
      <w:r>
        <w:rPr>
          <w:rFonts w:hint="eastAsia" w:ascii="Times New Roman" w:hAnsi="Times New Roman" w:eastAsia="宋体" w:cs="Times New Roman"/>
          <w:sz w:val="18"/>
          <w:szCs w:val="18"/>
          <w:lang w:val="zh-CN"/>
        </w:rPr>
        <w:t>]</w:t>
      </w:r>
      <w:r>
        <w:rPr>
          <w:rFonts w:hint="eastAsia" w:ascii="Times New Roman" w:hAnsi="Times New Roman" w:eastAsia="宋体" w:cs="Times New Roman"/>
          <w:sz w:val="18"/>
          <w:szCs w:val="18"/>
        </w:rPr>
        <w:t xml:space="preserve"> </w:t>
      </w:r>
      <w:r>
        <w:rPr>
          <w:rFonts w:hint="eastAsia" w:ascii="宋体" w:hAnsi="宋体" w:eastAsia="宋体" w:cs="宋体"/>
          <w:sz w:val="18"/>
          <w:szCs w:val="18"/>
          <w:lang w:val="zh-CN"/>
        </w:rPr>
        <w:t>周申，漆鑫.</w:t>
      </w:r>
      <w:r>
        <w:rPr>
          <w:rFonts w:hint="eastAsia" w:ascii="宋体" w:hAnsi="宋体" w:eastAsia="宋体" w:cs="宋体"/>
          <w:sz w:val="18"/>
          <w:szCs w:val="18"/>
        </w:rPr>
        <w:t xml:space="preserve"> </w:t>
      </w:r>
      <w:r>
        <w:rPr>
          <w:rFonts w:hint="eastAsia" w:ascii="宋体" w:hAnsi="宋体" w:eastAsia="宋体" w:cs="宋体"/>
          <w:sz w:val="18"/>
          <w:szCs w:val="18"/>
          <w:lang w:val="zh-CN"/>
        </w:rPr>
        <w:t>经济开放、劳动市场与二元经济结构转化</w:t>
      </w:r>
      <w:r>
        <w:rPr>
          <w:rFonts w:hint="eastAsia" w:ascii="Times New Roman" w:hAnsi="Times New Roman" w:eastAsia="宋体" w:cs="Times New Roman"/>
          <w:sz w:val="18"/>
          <w:szCs w:val="18"/>
          <w:lang w:val="zh-CN"/>
        </w:rPr>
        <w:t>[J]</w:t>
      </w:r>
      <w:r>
        <w:rPr>
          <w:rFonts w:hint="eastAsia" w:ascii="宋体" w:hAnsi="宋体" w:eastAsia="宋体" w:cs="宋体"/>
          <w:sz w:val="18"/>
          <w:szCs w:val="18"/>
          <w:lang w:val="zh-CN"/>
        </w:rPr>
        <w:t>.</w:t>
      </w:r>
      <w:r>
        <w:rPr>
          <w:rFonts w:hint="eastAsia" w:ascii="宋体" w:hAnsi="宋体" w:eastAsia="宋体" w:cs="宋体"/>
          <w:sz w:val="18"/>
          <w:szCs w:val="18"/>
        </w:rPr>
        <w:t xml:space="preserve"> </w:t>
      </w:r>
      <w:r>
        <w:rPr>
          <w:rFonts w:hint="eastAsia" w:ascii="宋体" w:hAnsi="宋体" w:eastAsia="宋体" w:cs="宋体"/>
          <w:sz w:val="18"/>
          <w:szCs w:val="18"/>
          <w:lang w:val="zh-CN"/>
        </w:rPr>
        <w:t>财经科学，</w:t>
      </w:r>
      <w:r>
        <w:rPr>
          <w:rFonts w:hint="eastAsia" w:ascii="Times New Roman" w:hAnsi="Times New Roman" w:eastAsia="宋体" w:cs="Times New Roman"/>
          <w:sz w:val="18"/>
          <w:szCs w:val="18"/>
          <w:lang w:val="zh-CN"/>
        </w:rPr>
        <w:t>2009</w:t>
      </w: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zh-CN"/>
        </w:rPr>
        <w:t>11</w:t>
      </w: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zh-CN"/>
        </w:rPr>
        <w:t>.</w:t>
      </w:r>
    </w:p>
    <w:p w14:paraId="49F964BA">
      <w:pPr>
        <w:spacing w:line="324" w:lineRule="exact"/>
        <w:ind w:firstLine="360" w:firstLineChars="200"/>
        <w:rPr>
          <w:rFonts w:ascii="Times New Roman" w:hAnsi="Times New Roman" w:eastAsia="宋体" w:cs="Times New Roman"/>
          <w:sz w:val="18"/>
          <w:szCs w:val="18"/>
        </w:rPr>
      </w:pPr>
      <w:r>
        <w:rPr>
          <w:rFonts w:ascii="Times New Roman" w:hAnsi="Times New Roman" w:eastAsia="宋体" w:cs="Times New Roman"/>
          <w:sz w:val="18"/>
          <w:szCs w:val="18"/>
        </w:rPr>
        <w:t>[</w:t>
      </w:r>
      <w:r>
        <w:rPr>
          <w:rFonts w:hint="eastAsia" w:ascii="Times New Roman" w:hAnsi="Times New Roman" w:eastAsia="宋体" w:cs="Times New Roman"/>
          <w:sz w:val="18"/>
          <w:szCs w:val="18"/>
        </w:rPr>
        <w:t>12</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刘晓光</w:t>
      </w:r>
      <w:r>
        <w:rPr>
          <w:rFonts w:hint="eastAsia" w:ascii="Times New Roman" w:hAnsi="Times New Roman" w:eastAsia="宋体" w:cs="Times New Roman"/>
          <w:sz w:val="18"/>
          <w:szCs w:val="18"/>
        </w:rPr>
        <w:t>，</w:t>
      </w:r>
      <w:r>
        <w:rPr>
          <w:rFonts w:ascii="Times New Roman" w:hAnsi="Times New Roman" w:eastAsia="宋体" w:cs="Times New Roman"/>
          <w:sz w:val="18"/>
          <w:szCs w:val="18"/>
        </w:rPr>
        <w:t>张勋</w:t>
      </w:r>
      <w:r>
        <w:rPr>
          <w:rFonts w:hint="eastAsia" w:ascii="Times New Roman" w:hAnsi="Times New Roman" w:eastAsia="宋体" w:cs="Times New Roman"/>
          <w:sz w:val="18"/>
          <w:szCs w:val="18"/>
        </w:rPr>
        <w:t>，</w:t>
      </w:r>
      <w:r>
        <w:rPr>
          <w:rFonts w:ascii="Times New Roman" w:hAnsi="Times New Roman" w:eastAsia="宋体" w:cs="Times New Roman"/>
          <w:sz w:val="18"/>
          <w:szCs w:val="18"/>
        </w:rPr>
        <w:t>方文全.</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基础设施的城乡收入分配效应</w:t>
      </w:r>
      <w:r>
        <w:rPr>
          <w:rFonts w:hint="eastAsia" w:ascii="Times New Roman" w:hAnsi="Times New Roman" w:eastAsia="宋体" w:cs="Times New Roman"/>
          <w:sz w:val="18"/>
          <w:szCs w:val="18"/>
        </w:rPr>
        <w:t>：</w:t>
      </w:r>
      <w:r>
        <w:rPr>
          <w:rFonts w:ascii="Times New Roman" w:hAnsi="Times New Roman" w:eastAsia="宋体" w:cs="Times New Roman"/>
          <w:sz w:val="18"/>
          <w:szCs w:val="18"/>
        </w:rPr>
        <w:t>基于劳动力转移的视角[J].</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世界经济</w:t>
      </w:r>
      <w:r>
        <w:rPr>
          <w:rFonts w:hint="eastAsia" w:ascii="Times New Roman" w:hAnsi="Times New Roman" w:eastAsia="宋体" w:cs="Times New Roman"/>
          <w:sz w:val="18"/>
          <w:szCs w:val="18"/>
        </w:rPr>
        <w:t>，</w:t>
      </w:r>
      <w:r>
        <w:rPr>
          <w:rFonts w:ascii="Times New Roman" w:hAnsi="Times New Roman" w:eastAsia="宋体" w:cs="Times New Roman"/>
          <w:sz w:val="18"/>
          <w:szCs w:val="18"/>
        </w:rPr>
        <w:t>2015</w:t>
      </w:r>
      <w:r>
        <w:rPr>
          <w:rFonts w:hint="eastAsia" w:ascii="Times New Roman" w:hAnsi="Times New Roman" w:eastAsia="宋体" w:cs="Times New Roman"/>
          <w:sz w:val="18"/>
          <w:szCs w:val="18"/>
        </w:rPr>
        <w:t>(</w:t>
      </w:r>
      <w:r>
        <w:rPr>
          <w:rFonts w:ascii="Times New Roman" w:hAnsi="Times New Roman" w:eastAsia="宋体" w:cs="Times New Roman"/>
          <w:sz w:val="18"/>
          <w:szCs w:val="18"/>
        </w:rPr>
        <w:t>3</w:t>
      </w:r>
      <w:r>
        <w:rPr>
          <w:rFonts w:hint="eastAsia" w:ascii="Times New Roman" w:hAnsi="Times New Roman" w:eastAsia="宋体" w:cs="Times New Roman"/>
          <w:sz w:val="18"/>
          <w:szCs w:val="18"/>
        </w:rPr>
        <w:t>)</w:t>
      </w:r>
      <w:r>
        <w:rPr>
          <w:rFonts w:ascii="Times New Roman" w:hAnsi="Times New Roman" w:eastAsia="宋体" w:cs="Times New Roman"/>
          <w:sz w:val="18"/>
          <w:szCs w:val="18"/>
        </w:rPr>
        <w:t>.</w:t>
      </w:r>
    </w:p>
    <w:p w14:paraId="6C3EF271">
      <w:pPr>
        <w:spacing w:line="324" w:lineRule="exact"/>
        <w:ind w:firstLine="360" w:firstLineChars="200"/>
        <w:rPr>
          <w:rFonts w:ascii="Times New Roman" w:hAnsi="Times New Roman" w:eastAsia="宋体" w:cs="Times New Roman"/>
          <w:sz w:val="18"/>
          <w:szCs w:val="18"/>
        </w:rPr>
      </w:pPr>
      <w:r>
        <w:rPr>
          <w:rFonts w:ascii="Times New Roman" w:hAnsi="Times New Roman" w:eastAsia="宋体" w:cs="Times New Roman"/>
          <w:sz w:val="18"/>
          <w:szCs w:val="18"/>
        </w:rPr>
        <w:t>[</w:t>
      </w:r>
      <w:r>
        <w:rPr>
          <w:rFonts w:hint="eastAsia" w:ascii="Times New Roman" w:hAnsi="Times New Roman" w:eastAsia="宋体" w:cs="Times New Roman"/>
          <w:sz w:val="18"/>
          <w:szCs w:val="18"/>
        </w:rPr>
        <w:t>13</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张勋</w:t>
      </w:r>
      <w:r>
        <w:rPr>
          <w:rFonts w:hint="eastAsia" w:ascii="Times New Roman" w:hAnsi="Times New Roman" w:eastAsia="宋体" w:cs="Times New Roman"/>
          <w:sz w:val="18"/>
          <w:szCs w:val="18"/>
        </w:rPr>
        <w:t>，</w:t>
      </w:r>
      <w:r>
        <w:rPr>
          <w:rFonts w:ascii="Times New Roman" w:hAnsi="Times New Roman" w:eastAsia="宋体" w:cs="Times New Roman"/>
          <w:sz w:val="18"/>
          <w:szCs w:val="18"/>
        </w:rPr>
        <w:t>刘晓</w:t>
      </w:r>
      <w:r>
        <w:rPr>
          <w:rFonts w:hint="eastAsia" w:ascii="Times New Roman" w:hAnsi="Times New Roman" w:eastAsia="宋体" w:cs="Times New Roman"/>
          <w:sz w:val="18"/>
          <w:szCs w:val="18"/>
        </w:rPr>
        <w:t>光，</w:t>
      </w:r>
      <w:r>
        <w:rPr>
          <w:rFonts w:ascii="Times New Roman" w:hAnsi="Times New Roman" w:eastAsia="宋体" w:cs="Times New Roman"/>
          <w:sz w:val="18"/>
          <w:szCs w:val="18"/>
        </w:rPr>
        <w:t>樊纲.</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农业劳动力转移与家户储蓄率上升[J].</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经济研究</w:t>
      </w:r>
      <w:r>
        <w:rPr>
          <w:rFonts w:hint="eastAsia" w:ascii="Times New Roman" w:hAnsi="Times New Roman" w:eastAsia="宋体" w:cs="Times New Roman"/>
          <w:sz w:val="18"/>
          <w:szCs w:val="18"/>
        </w:rPr>
        <w:t>，</w:t>
      </w:r>
      <w:r>
        <w:rPr>
          <w:rFonts w:ascii="Times New Roman" w:hAnsi="Times New Roman" w:eastAsia="宋体" w:cs="Times New Roman"/>
          <w:sz w:val="18"/>
          <w:szCs w:val="18"/>
        </w:rPr>
        <w:t>2014(4).</w:t>
      </w:r>
    </w:p>
    <w:p w14:paraId="5A936FFB">
      <w:pPr>
        <w:spacing w:line="324" w:lineRule="exact"/>
        <w:ind w:firstLine="360" w:firstLineChars="200"/>
        <w:rPr>
          <w:rFonts w:ascii="宋体" w:hAnsi="宋体" w:eastAsia="宋体" w:cs="宋体"/>
          <w:sz w:val="18"/>
          <w:szCs w:val="18"/>
        </w:rPr>
      </w:pP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en-US" w:eastAsia="zh-CN"/>
        </w:rPr>
        <w:t>14</w:t>
      </w:r>
      <w:r>
        <w:rPr>
          <w:rFonts w:hint="eastAsia" w:ascii="Times New Roman" w:hAnsi="Times New Roman" w:eastAsia="宋体" w:cs="Times New Roman"/>
          <w:sz w:val="18"/>
          <w:szCs w:val="18"/>
        </w:rPr>
        <w:t xml:space="preserve">] </w:t>
      </w:r>
      <w:r>
        <w:rPr>
          <w:rFonts w:hint="eastAsia" w:ascii="宋体" w:hAnsi="宋体" w:eastAsia="宋体" w:cs="宋体"/>
          <w:sz w:val="18"/>
          <w:szCs w:val="18"/>
        </w:rPr>
        <w:t>黄枫，孙世龙. 让市场配置农地资源：劳动力转移与农地使用权市场发育</w:t>
      </w:r>
      <w:r>
        <w:rPr>
          <w:rFonts w:hint="eastAsia" w:ascii="Times New Roman" w:hAnsi="Times New Roman" w:eastAsia="宋体" w:cs="Times New Roman"/>
          <w:sz w:val="18"/>
          <w:szCs w:val="18"/>
        </w:rPr>
        <w:t>[J]</w:t>
      </w:r>
      <w:r>
        <w:rPr>
          <w:rFonts w:hint="eastAsia" w:ascii="宋体" w:hAnsi="宋体" w:eastAsia="宋体" w:cs="宋体"/>
          <w:sz w:val="18"/>
          <w:szCs w:val="18"/>
        </w:rPr>
        <w:t>. 管理世界，</w:t>
      </w:r>
      <w:r>
        <w:rPr>
          <w:rFonts w:hint="eastAsia" w:ascii="Times New Roman" w:hAnsi="Times New Roman" w:eastAsia="宋体" w:cs="Times New Roman"/>
          <w:sz w:val="18"/>
          <w:szCs w:val="18"/>
        </w:rPr>
        <w:t>2015(7)</w:t>
      </w:r>
      <w:r>
        <w:rPr>
          <w:rFonts w:hint="eastAsia" w:ascii="宋体" w:hAnsi="宋体" w:eastAsia="宋体" w:cs="宋体"/>
          <w:sz w:val="18"/>
          <w:szCs w:val="18"/>
        </w:rPr>
        <w:t>.</w:t>
      </w:r>
    </w:p>
    <w:p w14:paraId="7BA2076B">
      <w:pPr>
        <w:spacing w:line="324" w:lineRule="exact"/>
        <w:ind w:firstLine="360" w:firstLineChars="200"/>
        <w:rPr>
          <w:rFonts w:ascii="宋体" w:hAnsi="宋体" w:eastAsia="宋体" w:cs="宋体"/>
          <w:sz w:val="18"/>
          <w:szCs w:val="18"/>
        </w:rPr>
      </w:pP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en-US" w:eastAsia="zh-CN"/>
        </w:rPr>
        <w:t>15</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徐</w:t>
      </w:r>
      <w:r>
        <w:rPr>
          <w:rFonts w:hint="eastAsia" w:ascii="宋体" w:hAnsi="宋体" w:eastAsia="宋体" w:cs="宋体"/>
          <w:sz w:val="18"/>
          <w:szCs w:val="18"/>
        </w:rPr>
        <w:t>建国，张勋. 农业生产率进步、劳动力转移与工农业联动发展</w:t>
      </w:r>
      <w:r>
        <w:rPr>
          <w:rFonts w:hint="eastAsia" w:ascii="Times New Roman" w:hAnsi="Times New Roman" w:eastAsia="宋体" w:cs="Times New Roman"/>
          <w:sz w:val="18"/>
          <w:szCs w:val="18"/>
        </w:rPr>
        <w:t>[J]</w:t>
      </w:r>
      <w:r>
        <w:rPr>
          <w:rFonts w:hint="eastAsia" w:ascii="宋体" w:hAnsi="宋体" w:eastAsia="宋体" w:cs="宋体"/>
          <w:sz w:val="18"/>
          <w:szCs w:val="18"/>
        </w:rPr>
        <w:t>. 管理世界，</w:t>
      </w:r>
      <w:r>
        <w:rPr>
          <w:rFonts w:hint="eastAsia" w:ascii="Times New Roman" w:hAnsi="Times New Roman" w:eastAsia="宋体" w:cs="Times New Roman"/>
          <w:sz w:val="18"/>
          <w:szCs w:val="18"/>
        </w:rPr>
        <w:t>2016(7)</w:t>
      </w:r>
      <w:r>
        <w:rPr>
          <w:rFonts w:hint="eastAsia" w:ascii="宋体" w:hAnsi="宋体" w:eastAsia="宋体" w:cs="宋体"/>
          <w:sz w:val="18"/>
          <w:szCs w:val="18"/>
        </w:rPr>
        <w:t>.</w:t>
      </w:r>
    </w:p>
    <w:p w14:paraId="06E85FD1">
      <w:pPr>
        <w:spacing w:line="324" w:lineRule="exact"/>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en-US" w:eastAsia="zh-CN"/>
        </w:rPr>
        <w:t>16</w:t>
      </w:r>
      <w:r>
        <w:rPr>
          <w:rFonts w:hint="eastAsia" w:ascii="Times New Roman" w:hAnsi="Times New Roman" w:eastAsia="宋体" w:cs="Times New Roman"/>
          <w:sz w:val="18"/>
          <w:szCs w:val="18"/>
        </w:rPr>
        <w:t xml:space="preserve">] </w:t>
      </w:r>
      <w:r>
        <w:rPr>
          <w:rFonts w:hint="eastAsia" w:ascii="宋体" w:hAnsi="宋体" w:eastAsia="宋体" w:cs="宋体"/>
          <w:sz w:val="18"/>
          <w:szCs w:val="18"/>
        </w:rPr>
        <w:t>高帆. 论二元经济结构的转化趋向</w:t>
      </w:r>
      <w:r>
        <w:rPr>
          <w:rFonts w:hint="eastAsia" w:ascii="Times New Roman" w:hAnsi="Times New Roman" w:eastAsia="宋体" w:cs="Times New Roman"/>
          <w:sz w:val="18"/>
          <w:szCs w:val="18"/>
        </w:rPr>
        <w:t>[J]</w:t>
      </w:r>
      <w:r>
        <w:rPr>
          <w:rFonts w:hint="eastAsia" w:ascii="宋体" w:hAnsi="宋体" w:eastAsia="宋体" w:cs="宋体"/>
          <w:sz w:val="18"/>
          <w:szCs w:val="18"/>
        </w:rPr>
        <w:t>. 经济研究，</w:t>
      </w:r>
      <w:r>
        <w:rPr>
          <w:rFonts w:hint="eastAsia" w:ascii="Times New Roman" w:hAnsi="Times New Roman" w:eastAsia="宋体" w:cs="Times New Roman"/>
          <w:sz w:val="18"/>
          <w:szCs w:val="18"/>
        </w:rPr>
        <w:t>2005(9).</w:t>
      </w:r>
    </w:p>
    <w:p w14:paraId="5590A9A7">
      <w:pPr>
        <w:spacing w:line="324" w:lineRule="exact"/>
        <w:ind w:firstLine="360" w:firstLineChars="200"/>
        <w:rPr>
          <w:rFonts w:ascii="Times New Roman" w:hAnsi="Times New Roman" w:eastAsia="宋体" w:cs="Times New Roman"/>
          <w:sz w:val="18"/>
          <w:szCs w:val="18"/>
        </w:rPr>
      </w:pPr>
      <w:r>
        <w:rPr>
          <w:rFonts w:ascii="Times New Roman" w:hAnsi="Times New Roman" w:eastAsia="宋体" w:cs="Times New Roman"/>
          <w:sz w:val="18"/>
          <w:szCs w:val="18"/>
        </w:rPr>
        <w:t>[</w:t>
      </w:r>
      <w:r>
        <w:rPr>
          <w:rFonts w:hint="eastAsia" w:ascii="Times New Roman" w:hAnsi="Times New Roman" w:eastAsia="宋体" w:cs="Times New Roman"/>
          <w:sz w:val="18"/>
          <w:szCs w:val="18"/>
          <w:lang w:val="en-US" w:eastAsia="zh-CN"/>
        </w:rPr>
        <w:t>17</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Baron</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R</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M</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D A</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Kenny</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 xml:space="preserve">The </w:t>
      </w:r>
      <w:r>
        <w:rPr>
          <w:rFonts w:hint="eastAsia" w:ascii="Times New Roman" w:hAnsi="Times New Roman" w:eastAsia="宋体" w:cs="Times New Roman"/>
          <w:sz w:val="18"/>
          <w:szCs w:val="18"/>
        </w:rPr>
        <w:t>M</w:t>
      </w:r>
      <w:r>
        <w:rPr>
          <w:rFonts w:ascii="Times New Roman" w:hAnsi="Times New Roman" w:eastAsia="宋体" w:cs="Times New Roman"/>
          <w:sz w:val="18"/>
          <w:szCs w:val="18"/>
        </w:rPr>
        <w:t>oderator-</w:t>
      </w:r>
      <w:r>
        <w:rPr>
          <w:rFonts w:hint="eastAsia" w:ascii="Times New Roman" w:hAnsi="Times New Roman" w:eastAsia="宋体" w:cs="Times New Roman"/>
          <w:sz w:val="18"/>
          <w:szCs w:val="18"/>
        </w:rPr>
        <w:t>m</w:t>
      </w:r>
      <w:r>
        <w:rPr>
          <w:rFonts w:ascii="Times New Roman" w:hAnsi="Times New Roman" w:eastAsia="宋体" w:cs="Times New Roman"/>
          <w:sz w:val="18"/>
          <w:szCs w:val="18"/>
        </w:rPr>
        <w:t xml:space="preserve">ediator </w:t>
      </w:r>
      <w:r>
        <w:rPr>
          <w:rFonts w:hint="eastAsia" w:ascii="Times New Roman" w:hAnsi="Times New Roman" w:eastAsia="宋体" w:cs="Times New Roman"/>
          <w:sz w:val="18"/>
          <w:szCs w:val="18"/>
        </w:rPr>
        <w:t>V</w:t>
      </w:r>
      <w:r>
        <w:rPr>
          <w:rFonts w:ascii="Times New Roman" w:hAnsi="Times New Roman" w:eastAsia="宋体" w:cs="Times New Roman"/>
          <w:sz w:val="18"/>
          <w:szCs w:val="18"/>
        </w:rPr>
        <w:t xml:space="preserve">ariable </w:t>
      </w:r>
      <w:r>
        <w:rPr>
          <w:rFonts w:hint="eastAsia" w:ascii="Times New Roman" w:hAnsi="Times New Roman" w:eastAsia="宋体" w:cs="Times New Roman"/>
          <w:sz w:val="18"/>
          <w:szCs w:val="18"/>
        </w:rPr>
        <w:t>D</w:t>
      </w:r>
      <w:r>
        <w:rPr>
          <w:rFonts w:ascii="Times New Roman" w:hAnsi="Times New Roman" w:eastAsia="宋体" w:cs="Times New Roman"/>
          <w:sz w:val="18"/>
          <w:szCs w:val="18"/>
        </w:rPr>
        <w:t xml:space="preserve">istinction in </w:t>
      </w:r>
      <w:r>
        <w:rPr>
          <w:rFonts w:hint="eastAsia" w:ascii="Times New Roman" w:hAnsi="Times New Roman" w:eastAsia="宋体" w:cs="Times New Roman"/>
          <w:sz w:val="18"/>
          <w:szCs w:val="18"/>
        </w:rPr>
        <w:t>S</w:t>
      </w:r>
      <w:r>
        <w:rPr>
          <w:rFonts w:ascii="Times New Roman" w:hAnsi="Times New Roman" w:eastAsia="宋体" w:cs="Times New Roman"/>
          <w:sz w:val="18"/>
          <w:szCs w:val="18"/>
        </w:rPr>
        <w:t xml:space="preserve">ocial </w:t>
      </w:r>
      <w:r>
        <w:rPr>
          <w:rFonts w:hint="eastAsia" w:ascii="Times New Roman" w:hAnsi="Times New Roman" w:eastAsia="宋体" w:cs="Times New Roman"/>
          <w:sz w:val="18"/>
          <w:szCs w:val="18"/>
        </w:rPr>
        <w:t>P</w:t>
      </w:r>
      <w:r>
        <w:rPr>
          <w:rFonts w:ascii="Times New Roman" w:hAnsi="Times New Roman" w:eastAsia="宋体" w:cs="Times New Roman"/>
          <w:sz w:val="18"/>
          <w:szCs w:val="18"/>
        </w:rPr>
        <w:t xml:space="preserve">sychological </w:t>
      </w:r>
      <w:r>
        <w:rPr>
          <w:rFonts w:hint="eastAsia" w:ascii="Times New Roman" w:hAnsi="Times New Roman" w:eastAsia="宋体" w:cs="Times New Roman"/>
          <w:sz w:val="18"/>
          <w:szCs w:val="18"/>
        </w:rPr>
        <w:t>R</w:t>
      </w:r>
      <w:r>
        <w:rPr>
          <w:rFonts w:ascii="Times New Roman" w:hAnsi="Times New Roman" w:eastAsia="宋体" w:cs="Times New Roman"/>
          <w:sz w:val="18"/>
          <w:szCs w:val="18"/>
        </w:rPr>
        <w:t xml:space="preserve">esearch: </w:t>
      </w:r>
      <w:r>
        <w:rPr>
          <w:rFonts w:hint="eastAsia" w:ascii="Times New Roman" w:hAnsi="Times New Roman" w:eastAsia="宋体" w:cs="Times New Roman"/>
          <w:sz w:val="18"/>
          <w:szCs w:val="18"/>
        </w:rPr>
        <w:t>C</w:t>
      </w:r>
      <w:r>
        <w:rPr>
          <w:rFonts w:ascii="Times New Roman" w:hAnsi="Times New Roman" w:eastAsia="宋体" w:cs="Times New Roman"/>
          <w:sz w:val="18"/>
          <w:szCs w:val="18"/>
        </w:rPr>
        <w:t xml:space="preserve">onceptual, </w:t>
      </w:r>
      <w:r>
        <w:rPr>
          <w:rFonts w:hint="eastAsia" w:ascii="Times New Roman" w:hAnsi="Times New Roman" w:eastAsia="宋体" w:cs="Times New Roman"/>
          <w:sz w:val="18"/>
          <w:szCs w:val="18"/>
        </w:rPr>
        <w:t>S</w:t>
      </w:r>
      <w:r>
        <w:rPr>
          <w:rFonts w:ascii="Times New Roman" w:hAnsi="Times New Roman" w:eastAsia="宋体" w:cs="Times New Roman"/>
          <w:sz w:val="18"/>
          <w:szCs w:val="18"/>
        </w:rPr>
        <w:t xml:space="preserve">trategic, and </w:t>
      </w:r>
      <w:r>
        <w:rPr>
          <w:rFonts w:hint="eastAsia" w:ascii="Times New Roman" w:hAnsi="Times New Roman" w:eastAsia="宋体" w:cs="Times New Roman"/>
          <w:sz w:val="18"/>
          <w:szCs w:val="18"/>
        </w:rPr>
        <w:t>S</w:t>
      </w:r>
      <w:r>
        <w:rPr>
          <w:rFonts w:ascii="Times New Roman" w:hAnsi="Times New Roman" w:eastAsia="宋体" w:cs="Times New Roman"/>
          <w:sz w:val="18"/>
          <w:szCs w:val="18"/>
        </w:rPr>
        <w:t xml:space="preserve">tatistical </w:t>
      </w:r>
      <w:r>
        <w:rPr>
          <w:rFonts w:hint="eastAsia" w:ascii="Times New Roman" w:hAnsi="Times New Roman" w:eastAsia="宋体" w:cs="Times New Roman"/>
          <w:sz w:val="18"/>
          <w:szCs w:val="18"/>
        </w:rPr>
        <w:t>C</w:t>
      </w:r>
      <w:r>
        <w:rPr>
          <w:rFonts w:ascii="Times New Roman" w:hAnsi="Times New Roman" w:eastAsia="宋体" w:cs="Times New Roman"/>
          <w:sz w:val="18"/>
          <w:szCs w:val="18"/>
        </w:rPr>
        <w:t xml:space="preserve">onsiderations[J]. Journal of </w:t>
      </w:r>
      <w:r>
        <w:rPr>
          <w:rFonts w:hint="eastAsia" w:ascii="Times New Roman" w:hAnsi="Times New Roman" w:eastAsia="宋体" w:cs="Times New Roman"/>
          <w:sz w:val="18"/>
          <w:szCs w:val="18"/>
        </w:rPr>
        <w:t>P</w:t>
      </w:r>
      <w:r>
        <w:rPr>
          <w:rFonts w:ascii="Times New Roman" w:hAnsi="Times New Roman" w:eastAsia="宋体" w:cs="Times New Roman"/>
          <w:sz w:val="18"/>
          <w:szCs w:val="18"/>
        </w:rPr>
        <w:t xml:space="preserve">ersonality and </w:t>
      </w:r>
      <w:r>
        <w:rPr>
          <w:rFonts w:hint="eastAsia" w:ascii="Times New Roman" w:hAnsi="Times New Roman" w:eastAsia="宋体" w:cs="Times New Roman"/>
          <w:sz w:val="18"/>
          <w:szCs w:val="18"/>
        </w:rPr>
        <w:t>S</w:t>
      </w:r>
      <w:r>
        <w:rPr>
          <w:rFonts w:ascii="Times New Roman" w:hAnsi="Times New Roman" w:eastAsia="宋体" w:cs="Times New Roman"/>
          <w:sz w:val="18"/>
          <w:szCs w:val="18"/>
        </w:rPr>
        <w:t xml:space="preserve">ocial </w:t>
      </w:r>
      <w:r>
        <w:rPr>
          <w:rFonts w:hint="eastAsia" w:ascii="Times New Roman" w:hAnsi="Times New Roman" w:eastAsia="宋体" w:cs="Times New Roman"/>
          <w:sz w:val="18"/>
          <w:szCs w:val="18"/>
        </w:rPr>
        <w:t>P</w:t>
      </w:r>
      <w:r>
        <w:rPr>
          <w:rFonts w:ascii="Times New Roman" w:hAnsi="Times New Roman" w:eastAsia="宋体" w:cs="Times New Roman"/>
          <w:sz w:val="18"/>
          <w:szCs w:val="18"/>
        </w:rPr>
        <w:t>sychology,</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1986(6).</w:t>
      </w:r>
    </w:p>
    <w:p w14:paraId="30DF4B86">
      <w:pPr>
        <w:spacing w:line="324" w:lineRule="exact"/>
        <w:ind w:firstLine="360" w:firstLineChars="200"/>
        <w:rPr>
          <w:rFonts w:ascii="宋体" w:hAnsi="宋体" w:eastAsia="宋体" w:cs="宋体"/>
          <w:sz w:val="18"/>
          <w:szCs w:val="18"/>
        </w:rPr>
      </w:pP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en-US" w:eastAsia="zh-CN"/>
        </w:rPr>
        <w:t>18</w:t>
      </w:r>
      <w:r>
        <w:rPr>
          <w:rFonts w:hint="eastAsia" w:ascii="Times New Roman" w:hAnsi="Times New Roman" w:eastAsia="宋体" w:cs="Times New Roman"/>
          <w:sz w:val="18"/>
          <w:szCs w:val="18"/>
        </w:rPr>
        <w:t xml:space="preserve">] </w:t>
      </w:r>
      <w:r>
        <w:rPr>
          <w:rFonts w:hint="eastAsia" w:ascii="宋体" w:hAnsi="宋体" w:eastAsia="宋体" w:cs="宋体"/>
          <w:sz w:val="18"/>
          <w:szCs w:val="18"/>
        </w:rPr>
        <w:t>钞小静，沈坤荣. 城乡收入差距、劳动力质量与中国经济增长</w:t>
      </w:r>
      <w:r>
        <w:rPr>
          <w:rFonts w:hint="eastAsia" w:ascii="Times New Roman" w:hAnsi="Times New Roman" w:eastAsia="宋体" w:cs="Times New Roman"/>
          <w:sz w:val="18"/>
          <w:szCs w:val="18"/>
        </w:rPr>
        <w:t>[J]</w:t>
      </w:r>
      <w:r>
        <w:rPr>
          <w:rFonts w:hint="eastAsia" w:ascii="宋体" w:hAnsi="宋体" w:eastAsia="宋体" w:cs="宋体"/>
          <w:sz w:val="18"/>
          <w:szCs w:val="18"/>
        </w:rPr>
        <w:t>. 经济研究，</w:t>
      </w:r>
      <w:r>
        <w:rPr>
          <w:rFonts w:hint="eastAsia" w:ascii="Times New Roman" w:hAnsi="Times New Roman" w:eastAsia="宋体" w:cs="Times New Roman"/>
          <w:sz w:val="18"/>
          <w:szCs w:val="18"/>
        </w:rPr>
        <w:t>2014(6).</w:t>
      </w:r>
    </w:p>
    <w:p w14:paraId="36577B20">
      <w:pPr>
        <w:spacing w:line="324" w:lineRule="exact"/>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en-US" w:eastAsia="zh-CN"/>
        </w:rPr>
        <w:t>19</w:t>
      </w:r>
      <w:r>
        <w:rPr>
          <w:rFonts w:hint="eastAsia" w:ascii="Times New Roman" w:hAnsi="Times New Roman" w:eastAsia="宋体" w:cs="Times New Roman"/>
          <w:sz w:val="18"/>
          <w:szCs w:val="18"/>
        </w:rPr>
        <w:t xml:space="preserve">] </w:t>
      </w:r>
      <w:r>
        <w:rPr>
          <w:rFonts w:hint="eastAsia" w:ascii="宋体" w:hAnsi="宋体" w:eastAsia="宋体" w:cs="宋体"/>
          <w:sz w:val="18"/>
          <w:szCs w:val="18"/>
        </w:rPr>
        <w:t>王贝. 中国工业化、城镇化和农业现代化关系实证研究</w:t>
      </w:r>
      <w:r>
        <w:rPr>
          <w:rFonts w:hint="eastAsia" w:ascii="Times New Roman" w:hAnsi="Times New Roman" w:eastAsia="宋体" w:cs="Times New Roman"/>
          <w:sz w:val="18"/>
          <w:szCs w:val="18"/>
        </w:rPr>
        <w:t>[J]</w:t>
      </w:r>
      <w:r>
        <w:rPr>
          <w:rFonts w:hint="eastAsia" w:ascii="宋体" w:hAnsi="宋体" w:eastAsia="宋体" w:cs="宋体"/>
          <w:sz w:val="18"/>
          <w:szCs w:val="18"/>
        </w:rPr>
        <w:t>. 城市问题，</w:t>
      </w:r>
      <w:r>
        <w:rPr>
          <w:rFonts w:hint="eastAsia" w:ascii="Times New Roman" w:hAnsi="Times New Roman" w:eastAsia="宋体" w:cs="Times New Roman"/>
          <w:sz w:val="18"/>
          <w:szCs w:val="18"/>
        </w:rPr>
        <w:t>2011(9).</w:t>
      </w:r>
    </w:p>
    <w:p w14:paraId="18FF8F42">
      <w:pPr>
        <w:spacing w:line="324" w:lineRule="exact"/>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hint="eastAsia" w:ascii="Times New Roman" w:hAnsi="Times New Roman" w:eastAsia="宋体" w:cs="Times New Roman"/>
          <w:sz w:val="18"/>
          <w:szCs w:val="18"/>
          <w:lang w:val="en-US" w:eastAsia="zh-CN"/>
        </w:rPr>
        <w:t>20</w:t>
      </w:r>
      <w:r>
        <w:rPr>
          <w:rFonts w:hint="eastAsia" w:ascii="Times New Roman" w:hAnsi="Times New Roman" w:eastAsia="宋体" w:cs="Times New Roman"/>
          <w:sz w:val="18"/>
          <w:szCs w:val="18"/>
        </w:rPr>
        <w:t>] 周振，马庆超，孔祥智. 农业机械化对农村劳动力转移贡献的量化研</w:t>
      </w:r>
      <w:r>
        <w:rPr>
          <w:rFonts w:ascii="Times New Roman" w:hAnsi="Times New Roman" w:eastAsia="宋体" w:cs="Times New Roman"/>
          <w:sz w:val="18"/>
          <w:szCs w:val="18"/>
        </w:rPr>
        <w:t>究[J]</w:t>
      </w:r>
      <w:r>
        <w:rPr>
          <w:rFonts w:hint="eastAsia" w:ascii="Times New Roman" w:hAnsi="Times New Roman" w:eastAsia="宋体" w:cs="Times New Roman"/>
          <w:sz w:val="18"/>
          <w:szCs w:val="18"/>
        </w:rPr>
        <w:t>. 农业技术经济，2016(2).</w:t>
      </w:r>
    </w:p>
    <w:p w14:paraId="523BC205">
      <w:pPr>
        <w:spacing w:line="324" w:lineRule="exact"/>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[2</w:t>
      </w:r>
      <w:r>
        <w:rPr>
          <w:rFonts w:hint="eastAsia" w:ascii="Times New Roman" w:hAnsi="Times New Roman" w:eastAsia="宋体" w:cs="Times New Roman"/>
          <w:sz w:val="18"/>
          <w:szCs w:val="18"/>
          <w:lang w:val="en-US" w:eastAsia="zh-CN"/>
        </w:rPr>
        <w:t>1</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石磊</w:t>
      </w:r>
      <w:r>
        <w:rPr>
          <w:rFonts w:hint="eastAsia" w:ascii="Times New Roman" w:hAnsi="Times New Roman" w:eastAsia="宋体" w:cs="Times New Roman"/>
          <w:sz w:val="18"/>
          <w:szCs w:val="18"/>
        </w:rPr>
        <w:t>，</w:t>
      </w:r>
      <w:r>
        <w:rPr>
          <w:rFonts w:ascii="Times New Roman" w:hAnsi="Times New Roman" w:eastAsia="宋体" w:cs="Times New Roman"/>
          <w:sz w:val="18"/>
          <w:szCs w:val="18"/>
        </w:rPr>
        <w:t>高帆.</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地区经济差距</w:t>
      </w:r>
      <w:r>
        <w:rPr>
          <w:rFonts w:hint="eastAsia" w:ascii="Times New Roman" w:hAnsi="Times New Roman" w:eastAsia="宋体" w:cs="Times New Roman"/>
          <w:sz w:val="18"/>
          <w:szCs w:val="18"/>
        </w:rPr>
        <w:t>：</w:t>
      </w:r>
      <w:r>
        <w:rPr>
          <w:rFonts w:ascii="Times New Roman" w:hAnsi="Times New Roman" w:eastAsia="宋体" w:cs="Times New Roman"/>
          <w:sz w:val="18"/>
          <w:szCs w:val="18"/>
        </w:rPr>
        <w:t>一个基于经济结构转变的实证研究[J].</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管理世界</w:t>
      </w:r>
      <w:r>
        <w:rPr>
          <w:rFonts w:hint="eastAsia" w:ascii="Times New Roman" w:hAnsi="Times New Roman" w:eastAsia="宋体" w:cs="Times New Roman"/>
          <w:sz w:val="18"/>
          <w:szCs w:val="18"/>
        </w:rPr>
        <w:t>，</w:t>
      </w:r>
      <w:r>
        <w:rPr>
          <w:rFonts w:ascii="Times New Roman" w:hAnsi="Times New Roman" w:eastAsia="宋体" w:cs="Times New Roman"/>
          <w:sz w:val="18"/>
          <w:szCs w:val="18"/>
        </w:rPr>
        <w:t>2006</w:t>
      </w:r>
      <w:r>
        <w:rPr>
          <w:rFonts w:hint="eastAsia" w:ascii="Times New Roman" w:hAnsi="Times New Roman" w:eastAsia="宋体" w:cs="Times New Roman"/>
          <w:sz w:val="18"/>
          <w:szCs w:val="18"/>
        </w:rPr>
        <w:t>(</w:t>
      </w:r>
      <w:r>
        <w:rPr>
          <w:rFonts w:ascii="Times New Roman" w:hAnsi="Times New Roman" w:eastAsia="宋体" w:cs="Times New Roman"/>
          <w:sz w:val="18"/>
          <w:szCs w:val="18"/>
        </w:rPr>
        <w:t>5</w:t>
      </w:r>
      <w:r>
        <w:rPr>
          <w:rFonts w:hint="eastAsia" w:ascii="Times New Roman" w:hAnsi="Times New Roman" w:eastAsia="宋体" w:cs="Times New Roman"/>
          <w:sz w:val="18"/>
          <w:szCs w:val="18"/>
        </w:rPr>
        <w:t>)</w:t>
      </w:r>
      <w:r>
        <w:rPr>
          <w:rFonts w:ascii="Times New Roman" w:hAnsi="Times New Roman" w:eastAsia="宋体" w:cs="Times New Roman"/>
          <w:sz w:val="18"/>
          <w:szCs w:val="18"/>
        </w:rPr>
        <w:t>.</w:t>
      </w:r>
    </w:p>
    <w:p w14:paraId="3E01F796">
      <w:pPr>
        <w:spacing w:line="324" w:lineRule="exact"/>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[2</w:t>
      </w:r>
      <w:r>
        <w:rPr>
          <w:rFonts w:hint="eastAsia" w:ascii="Times New Roman" w:hAnsi="Times New Roman" w:eastAsia="宋体" w:cs="Times New Roman"/>
          <w:sz w:val="18"/>
          <w:szCs w:val="18"/>
          <w:lang w:val="en-US" w:eastAsia="zh-CN"/>
        </w:rPr>
        <w:t>2</w:t>
      </w:r>
      <w:r>
        <w:rPr>
          <w:rFonts w:hint="eastAsia" w:ascii="Times New Roman" w:hAnsi="Times New Roman" w:eastAsia="宋体" w:cs="Times New Roman"/>
          <w:sz w:val="18"/>
          <w:szCs w:val="18"/>
        </w:rPr>
        <w:t xml:space="preserve">] </w:t>
      </w:r>
      <w:r>
        <w:rPr>
          <w:rFonts w:hint="eastAsia" w:ascii="宋体" w:hAnsi="宋体" w:eastAsia="宋体" w:cs="宋体"/>
          <w:sz w:val="18"/>
          <w:szCs w:val="18"/>
        </w:rPr>
        <w:t>吕炜，张晓颖，王伟同. 农机具购置补贴、农业生产效率与农村劳动力转移</w:t>
      </w:r>
      <w:r>
        <w:rPr>
          <w:rFonts w:hint="eastAsia" w:ascii="Times New Roman" w:hAnsi="Times New Roman" w:eastAsia="宋体" w:cs="Times New Roman"/>
          <w:sz w:val="18"/>
          <w:szCs w:val="18"/>
        </w:rPr>
        <w:t>[J]</w:t>
      </w:r>
      <w:r>
        <w:rPr>
          <w:rFonts w:hint="eastAsia" w:ascii="宋体" w:hAnsi="宋体" w:eastAsia="宋体" w:cs="宋体"/>
          <w:sz w:val="18"/>
          <w:szCs w:val="18"/>
        </w:rPr>
        <w:t>. 中国农村经济，</w:t>
      </w:r>
      <w:r>
        <w:rPr>
          <w:rFonts w:hint="eastAsia" w:ascii="Times New Roman" w:hAnsi="Times New Roman" w:eastAsia="宋体" w:cs="Times New Roman"/>
          <w:sz w:val="18"/>
          <w:szCs w:val="18"/>
        </w:rPr>
        <w:t>2015(8).</w:t>
      </w:r>
    </w:p>
    <w:p w14:paraId="6CBDBBA6">
      <w:pPr>
        <w:spacing w:line="324" w:lineRule="exact"/>
        <w:ind w:firstLine="360" w:firstLineChars="200"/>
        <w:rPr>
          <w:rFonts w:ascii="Times New Roman" w:hAnsi="Times New Roman" w:eastAsia="宋体" w:cs="Times New Roman"/>
          <w:sz w:val="18"/>
          <w:szCs w:val="18"/>
        </w:rPr>
      </w:pPr>
      <w:r>
        <w:rPr>
          <w:rFonts w:ascii="Times New Roman" w:hAnsi="Times New Roman" w:eastAsia="宋体" w:cs="Times New Roman"/>
          <w:sz w:val="18"/>
          <w:szCs w:val="18"/>
        </w:rPr>
        <w:t>[</w:t>
      </w:r>
      <w:r>
        <w:rPr>
          <w:rFonts w:hint="eastAsia" w:ascii="Times New Roman" w:hAnsi="Times New Roman" w:eastAsia="宋体" w:cs="Times New Roman"/>
          <w:sz w:val="18"/>
          <w:szCs w:val="18"/>
        </w:rPr>
        <w:t>2</w:t>
      </w:r>
      <w:r>
        <w:rPr>
          <w:rFonts w:hint="eastAsia" w:ascii="Times New Roman" w:hAnsi="Times New Roman" w:eastAsia="宋体" w:cs="Times New Roman"/>
          <w:sz w:val="18"/>
          <w:szCs w:val="18"/>
          <w:lang w:val="en-US" w:eastAsia="zh-CN"/>
        </w:rPr>
        <w:t>3</w:t>
      </w:r>
      <w:r>
        <w:rPr>
          <w:rFonts w:ascii="Times New Roman" w:hAnsi="Times New Roman" w:eastAsia="宋体" w:cs="Times New Roman"/>
          <w:sz w:val="18"/>
          <w:szCs w:val="18"/>
        </w:rPr>
        <w:t>]</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陈斌开</w:t>
      </w:r>
      <w:r>
        <w:rPr>
          <w:rFonts w:hint="eastAsia" w:ascii="Times New Roman" w:hAnsi="Times New Roman" w:eastAsia="宋体" w:cs="Times New Roman"/>
          <w:sz w:val="18"/>
          <w:szCs w:val="18"/>
        </w:rPr>
        <w:t>，</w:t>
      </w:r>
      <w:r>
        <w:rPr>
          <w:rFonts w:ascii="Times New Roman" w:hAnsi="Times New Roman" w:eastAsia="宋体" w:cs="Times New Roman"/>
          <w:sz w:val="18"/>
          <w:szCs w:val="18"/>
        </w:rPr>
        <w:t>林毅夫.</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发展战略、城市化与中国城乡收入差距[J].</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中国社会科学</w:t>
      </w:r>
      <w:r>
        <w:rPr>
          <w:rFonts w:hint="eastAsia" w:ascii="Times New Roman" w:hAnsi="Times New Roman" w:eastAsia="宋体" w:cs="Times New Roman"/>
          <w:sz w:val="18"/>
          <w:szCs w:val="18"/>
        </w:rPr>
        <w:t>，</w:t>
      </w:r>
      <w:r>
        <w:rPr>
          <w:rFonts w:ascii="Times New Roman" w:hAnsi="Times New Roman" w:eastAsia="宋体" w:cs="Times New Roman"/>
          <w:sz w:val="18"/>
          <w:szCs w:val="18"/>
        </w:rPr>
        <w:t>2013</w:t>
      </w:r>
      <w:r>
        <w:rPr>
          <w:rFonts w:hint="eastAsia" w:ascii="Times New Roman" w:hAnsi="Times New Roman" w:eastAsia="宋体" w:cs="Times New Roman"/>
          <w:sz w:val="18"/>
          <w:szCs w:val="18"/>
        </w:rPr>
        <w:t>(</w:t>
      </w:r>
      <w:r>
        <w:rPr>
          <w:rFonts w:ascii="Times New Roman" w:hAnsi="Times New Roman" w:eastAsia="宋体" w:cs="Times New Roman"/>
          <w:sz w:val="18"/>
          <w:szCs w:val="18"/>
        </w:rPr>
        <w:t>4</w:t>
      </w:r>
      <w:r>
        <w:rPr>
          <w:rFonts w:hint="eastAsia" w:ascii="Times New Roman" w:hAnsi="Times New Roman" w:eastAsia="宋体" w:cs="Times New Roman"/>
          <w:sz w:val="18"/>
          <w:szCs w:val="18"/>
        </w:rPr>
        <w:t>)</w:t>
      </w:r>
      <w:r>
        <w:rPr>
          <w:rFonts w:ascii="Times New Roman" w:hAnsi="Times New Roman" w:eastAsia="宋体" w:cs="Times New Roman"/>
          <w:sz w:val="18"/>
          <w:szCs w:val="18"/>
        </w:rPr>
        <w:t>.</w:t>
      </w:r>
    </w:p>
    <w:p w14:paraId="12F68B41">
      <w:pPr>
        <w:spacing w:line="324" w:lineRule="exact"/>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[2</w:t>
      </w:r>
      <w:r>
        <w:rPr>
          <w:rFonts w:hint="eastAsia" w:ascii="Times New Roman" w:hAnsi="Times New Roman" w:eastAsia="宋体" w:cs="Times New Roman"/>
          <w:sz w:val="18"/>
          <w:szCs w:val="18"/>
          <w:lang w:val="en-US" w:eastAsia="zh-CN"/>
        </w:rPr>
        <w:t>4</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陆铭，陈钊. 城市化、城市倾向的经济政策与城乡收入差距[J]. 经济研究</w:t>
      </w:r>
      <w:r>
        <w:rPr>
          <w:rFonts w:hint="eastAsia" w:ascii="Times New Roman" w:hAnsi="Times New Roman" w:eastAsia="宋体" w:cs="Times New Roman"/>
          <w:sz w:val="18"/>
          <w:szCs w:val="18"/>
        </w:rPr>
        <w:t>，</w:t>
      </w:r>
      <w:r>
        <w:rPr>
          <w:rFonts w:ascii="Times New Roman" w:hAnsi="Times New Roman" w:eastAsia="宋体" w:cs="Times New Roman"/>
          <w:sz w:val="18"/>
          <w:szCs w:val="18"/>
        </w:rPr>
        <w:t>2004</w:t>
      </w:r>
      <w:r>
        <w:rPr>
          <w:rFonts w:hint="eastAsia" w:ascii="Times New Roman" w:hAnsi="Times New Roman" w:eastAsia="宋体" w:cs="Times New Roman"/>
          <w:sz w:val="18"/>
          <w:szCs w:val="18"/>
        </w:rPr>
        <w:t>(</w:t>
      </w:r>
      <w:r>
        <w:rPr>
          <w:rFonts w:ascii="Times New Roman" w:hAnsi="Times New Roman" w:eastAsia="宋体" w:cs="Times New Roman"/>
          <w:sz w:val="18"/>
          <w:szCs w:val="18"/>
        </w:rPr>
        <w:t>6</w:t>
      </w:r>
      <w:r>
        <w:rPr>
          <w:rFonts w:hint="eastAsia" w:ascii="Times New Roman" w:hAnsi="Times New Roman" w:eastAsia="宋体" w:cs="Times New Roman"/>
          <w:sz w:val="18"/>
          <w:szCs w:val="18"/>
        </w:rPr>
        <w:t>)</w:t>
      </w:r>
      <w:r>
        <w:rPr>
          <w:rFonts w:ascii="Times New Roman" w:hAnsi="Times New Roman" w:eastAsia="宋体" w:cs="Times New Roman"/>
          <w:sz w:val="18"/>
          <w:szCs w:val="18"/>
        </w:rPr>
        <w:t>.</w:t>
      </w:r>
    </w:p>
    <w:p w14:paraId="4F800BF9">
      <w:pPr>
        <w:spacing w:line="324" w:lineRule="exact"/>
        <w:ind w:firstLine="360" w:firstLineChars="200"/>
        <w:rPr>
          <w:rFonts w:ascii="宋体" w:hAnsi="宋体" w:eastAsia="宋体" w:cs="宋体"/>
          <w:sz w:val="18"/>
          <w:szCs w:val="18"/>
        </w:rPr>
      </w:pPr>
      <w:r>
        <w:rPr>
          <w:rFonts w:hint="eastAsia" w:ascii="Times New Roman" w:hAnsi="Times New Roman" w:eastAsia="宋体" w:cs="Times New Roman"/>
          <w:sz w:val="18"/>
          <w:szCs w:val="18"/>
        </w:rPr>
        <w:t>[2</w:t>
      </w:r>
      <w:r>
        <w:rPr>
          <w:rFonts w:hint="eastAsia" w:ascii="Times New Roman" w:hAnsi="Times New Roman" w:eastAsia="宋体" w:cs="Times New Roman"/>
          <w:sz w:val="18"/>
          <w:szCs w:val="18"/>
          <w:lang w:val="en-US" w:eastAsia="zh-CN"/>
        </w:rPr>
        <w:t>5</w:t>
      </w:r>
      <w:r>
        <w:rPr>
          <w:rFonts w:hint="eastAsia" w:ascii="Times New Roman" w:hAnsi="Times New Roman" w:eastAsia="宋体" w:cs="Times New Roman"/>
          <w:sz w:val="18"/>
          <w:szCs w:val="18"/>
        </w:rPr>
        <w:t xml:space="preserve">] </w:t>
      </w:r>
      <w:r>
        <w:rPr>
          <w:rFonts w:hint="eastAsia" w:ascii="宋体" w:hAnsi="宋体" w:eastAsia="宋体" w:cs="宋体"/>
          <w:sz w:val="18"/>
          <w:szCs w:val="18"/>
        </w:rPr>
        <w:t>李谷成，李烨阳，周晓时. 农业机械化、劳动力转移与农民收入增长——孰因孰果?</w:t>
      </w:r>
      <w:r>
        <w:rPr>
          <w:rFonts w:hint="eastAsia" w:ascii="Times New Roman" w:hAnsi="Times New Roman" w:eastAsia="宋体" w:cs="Times New Roman"/>
          <w:sz w:val="18"/>
          <w:szCs w:val="18"/>
        </w:rPr>
        <w:t xml:space="preserve">[J]. </w:t>
      </w:r>
      <w:r>
        <w:rPr>
          <w:rFonts w:hint="eastAsia" w:ascii="宋体" w:hAnsi="宋体" w:eastAsia="宋体" w:cs="宋体"/>
          <w:sz w:val="18"/>
          <w:szCs w:val="18"/>
        </w:rPr>
        <w:t>中国农村经济，</w:t>
      </w:r>
      <w:r>
        <w:rPr>
          <w:rFonts w:hint="eastAsia" w:ascii="Times New Roman" w:hAnsi="Times New Roman" w:eastAsia="宋体" w:cs="Times New Roman"/>
          <w:sz w:val="18"/>
          <w:szCs w:val="18"/>
        </w:rPr>
        <w:t>2018(11)</w:t>
      </w:r>
      <w:r>
        <w:rPr>
          <w:rFonts w:hint="eastAsia" w:ascii="宋体" w:hAnsi="宋体" w:eastAsia="宋体" w:cs="宋体"/>
          <w:sz w:val="18"/>
          <w:szCs w:val="18"/>
        </w:rPr>
        <w:t>.</w:t>
      </w:r>
    </w:p>
    <w:p w14:paraId="4EFC6933">
      <w:pPr>
        <w:spacing w:line="300" w:lineRule="auto"/>
        <w:jc w:val="center"/>
        <w:rPr>
          <w:rFonts w:ascii="Times New Roman" w:hAnsi="Times New Roman" w:eastAsia="宋体" w:cs="Times New Roman"/>
          <w:b/>
          <w:bCs/>
          <w:sz w:val="30"/>
          <w:szCs w:val="30"/>
        </w:rPr>
      </w:pPr>
      <w:commentRangeStart w:id="18"/>
      <w:r>
        <w:rPr>
          <w:rFonts w:hint="eastAsia" w:ascii="Times New Roman" w:hAnsi="Times New Roman" w:eastAsia="宋体" w:cs="Times New Roman"/>
          <w:b/>
          <w:bCs/>
          <w:sz w:val="30"/>
          <w:szCs w:val="30"/>
        </w:rPr>
        <w:t>Agricultural Modernization, Labor Transfer and Dual Economic Structure</w:t>
      </w:r>
      <w:commentRangeEnd w:id="18"/>
      <w:r>
        <w:commentReference w:id="18"/>
      </w:r>
    </w:p>
    <w:p w14:paraId="167CB9A4">
      <w:pPr>
        <w:spacing w:line="300" w:lineRule="auto"/>
        <w:jc w:val="center"/>
        <w:rPr>
          <w:rFonts w:hint="eastAsia" w:ascii="Times New Roman" w:hAnsi="Times New Roman" w:cs="Times New Roman" w:eastAsiaTheme="minorEastAsia"/>
          <w:sz w:val="24"/>
          <w:lang w:val="en-US" w:eastAsia="zh-CN"/>
        </w:rPr>
      </w:pPr>
      <w:r>
        <w:rPr>
          <w:rFonts w:ascii="Times New Roman" w:hAnsi="Times New Roman" w:eastAsia="宋体" w:cs="Times New Roman"/>
          <w:sz w:val="24"/>
        </w:rPr>
        <w:t xml:space="preserve">SHI </w:t>
      </w:r>
      <w:r>
        <w:rPr>
          <w:rFonts w:hint="eastAsia" w:ascii="宋体" w:hAnsi="宋体"/>
          <w:szCs w:val="21"/>
        </w:rPr>
        <w:t>XX</w:t>
      </w:r>
      <w:r>
        <w:rPr>
          <w:rFonts w:hint="eastAsia" w:ascii="宋体" w:hAnsi="宋体"/>
          <w:color w:val="000000"/>
          <w:szCs w:val="21"/>
          <w:vertAlign w:val="superscript"/>
        </w:rPr>
        <w:t>1</w:t>
      </w:r>
      <w:r>
        <w:rPr>
          <w:rFonts w:ascii="Times New Roman" w:hAnsi="Times New Roman" w:eastAsia="宋体" w:cs="Times New Roman"/>
          <w:sz w:val="24"/>
        </w:rPr>
        <w:t xml:space="preserve">   LI </w:t>
      </w:r>
      <w:r>
        <w:rPr>
          <w:rFonts w:hint="eastAsia" w:ascii="宋体" w:hAnsi="宋体"/>
          <w:szCs w:val="21"/>
        </w:rPr>
        <w:t>XX</w:t>
      </w:r>
      <w:r>
        <w:rPr>
          <w:rFonts w:hint="eastAsia" w:ascii="宋体" w:hAnsi="宋体"/>
          <w:szCs w:val="21"/>
          <w:vertAlign w:val="superscript"/>
          <w:lang w:val="en-US" w:eastAsia="zh-CN"/>
        </w:rPr>
        <w:t>2</w:t>
      </w:r>
    </w:p>
    <w:p w14:paraId="1BD477E8">
      <w:pPr>
        <w:numPr>
          <w:ilvl w:val="0"/>
          <w:numId w:val="2"/>
        </w:numPr>
        <w:spacing w:line="300" w:lineRule="auto"/>
        <w:jc w:val="center"/>
        <w:rPr>
          <w:rFonts w:ascii="Times New Roman" w:hAnsi="Times New Roman" w:eastAsia="宋体" w:cs="Times New Roman"/>
          <w:szCs w:val="21"/>
        </w:rPr>
      </w:pPr>
      <w:r>
        <w:rPr>
          <w:rFonts w:ascii="Times New Roman" w:hAnsi="Times New Roman" w:eastAsia="宋体" w:cs="Times New Roman"/>
          <w:szCs w:val="21"/>
        </w:rPr>
        <w:t>Northeast Normal University, Changchun 130012</w:t>
      </w:r>
      <w:r>
        <w:rPr>
          <w:rFonts w:hint="eastAsia" w:ascii="Times New Roman" w:hAnsi="Times New Roman" w:eastAsia="宋体" w:cs="Times New Roman"/>
          <w:szCs w:val="21"/>
          <w:lang w:val="en-US" w:eastAsia="zh-CN"/>
        </w:rPr>
        <w:t>, Jilin, China</w:t>
      </w:r>
    </w:p>
    <w:p w14:paraId="4311BD0D">
      <w:pPr>
        <w:numPr>
          <w:ilvl w:val="0"/>
          <w:numId w:val="2"/>
        </w:numPr>
        <w:spacing w:line="300" w:lineRule="auto"/>
        <w:jc w:val="center"/>
        <w:rPr>
          <w:rFonts w:ascii="Times New Roman" w:hAnsi="Times New Roman" w:eastAsia="宋体" w:cs="Times New Roman"/>
          <w:szCs w:val="21"/>
        </w:rPr>
      </w:pPr>
      <w:r>
        <w:rPr>
          <w:rFonts w:ascii="Times New Roman" w:hAnsi="Times New Roman" w:eastAsia="宋体" w:cs="Times New Roman"/>
          <w:szCs w:val="21"/>
        </w:rPr>
        <w:t>Northeast</w:t>
      </w:r>
      <w:r>
        <w:rPr>
          <w:rFonts w:hint="eastAsia" w:ascii="Times New Roman" w:hAnsi="Times New Roman" w:eastAsia="宋体" w:cs="Times New Roman"/>
          <w:szCs w:val="21"/>
          <w:lang w:val="en-US" w:eastAsia="zh-CN"/>
        </w:rPr>
        <w:t xml:space="preserve"> Agricultural University, Harbin 150030, Heilongjiang, China</w:t>
      </w:r>
    </w:p>
    <w:p w14:paraId="76842BB1">
      <w:pPr>
        <w:spacing w:line="300" w:lineRule="auto"/>
        <w:jc w:val="center"/>
      </w:pPr>
    </w:p>
    <w:p w14:paraId="71DA8E1A">
      <w:pPr>
        <w:spacing w:line="300" w:lineRule="auto"/>
        <w:ind w:firstLine="482" w:firstLineChars="200"/>
        <w:rPr>
          <w:rFonts w:ascii="Times New Roman" w:hAnsi="Times New Roman" w:eastAsia="宋体" w:cs="Times New Roman"/>
          <w:szCs w:val="21"/>
        </w:rPr>
      </w:pPr>
      <w:r>
        <w:rPr>
          <w:rFonts w:ascii="Times New Roman" w:hAnsi="Times New Roman" w:eastAsia="宋体" w:cs="Times New Roman"/>
          <w:b/>
          <w:bCs/>
          <w:sz w:val="24"/>
        </w:rPr>
        <w:t>Abstract</w:t>
      </w:r>
      <w:r>
        <w:rPr>
          <w:rFonts w:hint="eastAsia" w:ascii="Times New Roman" w:hAnsi="Times New Roman" w:eastAsia="宋体" w:cs="Times New Roman"/>
          <w:b/>
          <w:bCs/>
          <w:sz w:val="24"/>
        </w:rPr>
        <w:t>:</w:t>
      </w:r>
      <w:r>
        <w:rPr>
          <w:rFonts w:hint="eastAsia"/>
        </w:rPr>
        <w:t xml:space="preserve"> </w:t>
      </w:r>
      <w:r>
        <w:rPr>
          <w:rFonts w:hint="eastAsia" w:ascii="Times New Roman" w:hAnsi="Times New Roman" w:eastAsia="宋体" w:cs="Times New Roman"/>
          <w:szCs w:val="21"/>
        </w:rPr>
        <w:t>The labor transfer brought about by the development of agricultural modernization plays an important role in the optimization of China's urban-rural dual economic structure. Based on China's provincial panel data from 2007 to 2018, this paper analyzes and demonstrates the impact of agricultural modernization and labor transfer on the dual economic structure, and examines the mediating effect of labor transfer on agricultural modernization. The results show that both agricultural modernization and labor transfer can significantly promote the optimization of the dual economic structure. Among them, agricultural modernization can directly affect the dual economic structure or indirectly affect the dual economic structure through labor transfer. Further analysis of heterogeneity find that agricultural modernization in major grain-producing areas directly affects the dual economic structure, while labor transfer in non-major-grain-producing areas has a partial mediating effect on agricultural modernization. Speeding up the pace of agricultural modernization and further tapping the potential for labor transfer are the keys to effectively alleviating the imbalance of urban and rural economic development in the dual economic development stage.</w:t>
      </w:r>
    </w:p>
    <w:p w14:paraId="688561A9">
      <w:pPr>
        <w:spacing w:line="300" w:lineRule="auto"/>
        <w:ind w:firstLine="482" w:firstLineChars="200"/>
        <w:rPr>
          <w:rFonts w:ascii="Times New Roman" w:hAnsi="Times New Roman" w:eastAsia="宋体" w:cs="Times New Roman"/>
          <w:szCs w:val="21"/>
        </w:rPr>
      </w:pPr>
      <w:r>
        <w:rPr>
          <w:rFonts w:hint="eastAsia" w:ascii="Times New Roman" w:hAnsi="Times New Roman" w:eastAsia="宋体" w:cs="Times New Roman"/>
          <w:b/>
          <w:bCs/>
          <w:sz w:val="24"/>
        </w:rPr>
        <w:t xml:space="preserve">Key words: </w:t>
      </w:r>
      <w:r>
        <w:rPr>
          <w:rFonts w:hint="eastAsia" w:ascii="Times New Roman" w:hAnsi="Times New Roman" w:eastAsia="宋体" w:cs="Times New Roman"/>
          <w:szCs w:val="21"/>
          <w:lang w:val="en-US" w:eastAsia="zh-CN"/>
        </w:rPr>
        <w:t>a</w:t>
      </w:r>
      <w:r>
        <w:rPr>
          <w:rFonts w:hint="eastAsia" w:ascii="Times New Roman" w:hAnsi="Times New Roman" w:eastAsia="宋体" w:cs="Times New Roman"/>
          <w:szCs w:val="21"/>
        </w:rPr>
        <w:t xml:space="preserve">gricultural </w:t>
      </w:r>
      <w:r>
        <w:rPr>
          <w:rFonts w:hint="eastAsia" w:ascii="Times New Roman" w:hAnsi="Times New Roman" w:eastAsia="宋体" w:cs="Times New Roman"/>
          <w:szCs w:val="21"/>
          <w:lang w:val="en-US" w:eastAsia="zh-CN"/>
        </w:rPr>
        <w:t>m</w:t>
      </w:r>
      <w:r>
        <w:rPr>
          <w:rFonts w:hint="eastAsia" w:ascii="Times New Roman" w:hAnsi="Times New Roman" w:eastAsia="宋体" w:cs="Times New Roman"/>
          <w:szCs w:val="21"/>
        </w:rPr>
        <w:t xml:space="preserve">odernization; </w:t>
      </w:r>
      <w:r>
        <w:rPr>
          <w:rFonts w:hint="eastAsia" w:ascii="Times New Roman" w:hAnsi="Times New Roman" w:eastAsia="宋体" w:cs="Times New Roman"/>
          <w:szCs w:val="21"/>
          <w:lang w:val="en-US" w:eastAsia="zh-CN"/>
        </w:rPr>
        <w:t>l</w:t>
      </w:r>
      <w:r>
        <w:rPr>
          <w:rFonts w:hint="eastAsia" w:ascii="Times New Roman" w:hAnsi="Times New Roman" w:eastAsia="宋体" w:cs="Times New Roman"/>
          <w:szCs w:val="21"/>
        </w:rPr>
        <w:t xml:space="preserve">abor </w:t>
      </w:r>
      <w:r>
        <w:rPr>
          <w:rFonts w:hint="eastAsia" w:ascii="Times New Roman" w:hAnsi="Times New Roman" w:eastAsia="宋体" w:cs="Times New Roman"/>
          <w:szCs w:val="21"/>
          <w:lang w:val="en-US" w:eastAsia="zh-CN"/>
        </w:rPr>
        <w:t>t</w:t>
      </w:r>
      <w:r>
        <w:rPr>
          <w:rFonts w:hint="eastAsia" w:ascii="Times New Roman" w:hAnsi="Times New Roman" w:eastAsia="宋体" w:cs="Times New Roman"/>
          <w:szCs w:val="21"/>
        </w:rPr>
        <w:t xml:space="preserve">ransfer; </w:t>
      </w:r>
      <w:r>
        <w:rPr>
          <w:rFonts w:hint="eastAsia" w:ascii="Times New Roman" w:hAnsi="Times New Roman" w:eastAsia="宋体" w:cs="Times New Roman"/>
          <w:szCs w:val="21"/>
          <w:lang w:val="en-US" w:eastAsia="zh-CN"/>
        </w:rPr>
        <w:t>d</w:t>
      </w:r>
      <w:r>
        <w:rPr>
          <w:rFonts w:hint="eastAsia" w:ascii="Times New Roman" w:hAnsi="Times New Roman" w:eastAsia="宋体" w:cs="Times New Roman"/>
          <w:szCs w:val="21"/>
        </w:rPr>
        <w:t xml:space="preserve">ual </w:t>
      </w:r>
      <w:r>
        <w:rPr>
          <w:rFonts w:hint="eastAsia" w:ascii="Times New Roman" w:hAnsi="Times New Roman" w:eastAsia="宋体" w:cs="Times New Roman"/>
          <w:szCs w:val="21"/>
          <w:lang w:val="en-US" w:eastAsia="zh-CN"/>
        </w:rPr>
        <w:t>e</w:t>
      </w:r>
      <w:r>
        <w:rPr>
          <w:rFonts w:hint="eastAsia" w:ascii="Times New Roman" w:hAnsi="Times New Roman" w:eastAsia="宋体" w:cs="Times New Roman"/>
          <w:szCs w:val="21"/>
        </w:rPr>
        <w:t xml:space="preserve">conomic </w:t>
      </w:r>
      <w:r>
        <w:rPr>
          <w:rFonts w:hint="eastAsia" w:ascii="Times New Roman" w:hAnsi="Times New Roman" w:eastAsia="宋体" w:cs="Times New Roman"/>
          <w:szCs w:val="21"/>
          <w:lang w:val="en-US" w:eastAsia="zh-CN"/>
        </w:rPr>
        <w:t>s</w:t>
      </w:r>
      <w:r>
        <w:rPr>
          <w:rFonts w:hint="eastAsia" w:ascii="Times New Roman" w:hAnsi="Times New Roman" w:eastAsia="宋体" w:cs="Times New Roman"/>
          <w:szCs w:val="21"/>
        </w:rPr>
        <w:t xml:space="preserve">tructure; </w:t>
      </w:r>
      <w:r>
        <w:rPr>
          <w:rFonts w:hint="eastAsia" w:ascii="Times New Roman" w:hAnsi="Times New Roman" w:eastAsia="宋体" w:cs="Times New Roman"/>
          <w:szCs w:val="21"/>
          <w:lang w:val="en-US" w:eastAsia="zh-CN"/>
        </w:rPr>
        <w:t>m</w:t>
      </w:r>
      <w:r>
        <w:rPr>
          <w:rFonts w:hint="eastAsia" w:ascii="Times New Roman" w:hAnsi="Times New Roman" w:eastAsia="宋体" w:cs="Times New Roman"/>
          <w:szCs w:val="21"/>
        </w:rPr>
        <w:t xml:space="preserve">ediation </w:t>
      </w:r>
      <w:r>
        <w:rPr>
          <w:rFonts w:hint="eastAsia" w:ascii="Times New Roman" w:hAnsi="Times New Roman" w:eastAsia="宋体" w:cs="Times New Roman"/>
          <w:szCs w:val="21"/>
          <w:lang w:val="en-US" w:eastAsia="zh-CN"/>
        </w:rPr>
        <w:t>e</w:t>
      </w:r>
      <w:r>
        <w:rPr>
          <w:rFonts w:hint="eastAsia" w:ascii="Times New Roman" w:hAnsi="Times New Roman" w:eastAsia="宋体" w:cs="Times New Roman"/>
          <w:szCs w:val="21"/>
        </w:rPr>
        <w:t>ffect</w:t>
      </w:r>
    </w:p>
    <w:p w14:paraId="56ACA86F"/>
    <w:p w14:paraId="3F4EDC53">
      <w:pPr>
        <w:spacing w:line="300" w:lineRule="auto"/>
        <w:rPr>
          <w:b/>
          <w:bCs/>
        </w:rPr>
      </w:pPr>
    </w:p>
    <w:sectPr>
      <w:footerReference r:id="rId6" w:type="default"/>
      <w:footnotePr>
        <w:numFmt w:val="decimalEnclosedCircleChinese"/>
        <w:numRestart w:val="eachPage"/>
      </w:footnote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XY" w:date="2022-10-07T10:53:45Z" w:initials="">
    <w:p w14:paraId="1B70515F">
      <w:pPr>
        <w:pStyle w:val="4"/>
      </w:pPr>
      <w:r>
        <w:rPr>
          <w:sz w:val="20"/>
          <w:szCs w:val="20"/>
          <w:highlight w:val="none"/>
        </w:rPr>
        <w:t>题目</w:t>
      </w:r>
      <w:r>
        <w:rPr>
          <w:rFonts w:hint="eastAsia"/>
          <w:sz w:val="20"/>
          <w:szCs w:val="20"/>
          <w:highlight w:val="none"/>
          <w:lang w:val="en-US" w:eastAsia="zh-CN"/>
        </w:rPr>
        <w:t>四号宋体加粗。</w:t>
      </w:r>
      <w:r>
        <w:rPr>
          <w:rFonts w:hint="eastAsia"/>
          <w:sz w:val="20"/>
          <w:szCs w:val="20"/>
        </w:rPr>
        <w:t>应</w:t>
      </w:r>
      <w:r>
        <w:rPr>
          <w:rFonts w:hint="eastAsia"/>
          <w:sz w:val="20"/>
          <w:szCs w:val="20"/>
          <w:lang w:val="en-US" w:eastAsia="zh-CN"/>
        </w:rPr>
        <w:t>宋体字</w:t>
      </w:r>
      <w:r>
        <w:rPr>
          <w:rFonts w:hint="eastAsia"/>
          <w:sz w:val="20"/>
          <w:szCs w:val="20"/>
        </w:rPr>
        <w:t>简明、具体、确切，概括文章要旨。一般不超过20个字，必要时可加副题。</w:t>
      </w:r>
    </w:p>
  </w:comment>
  <w:comment w:id="1" w:author="XY" w:date="2022-10-07T10:54:23Z" w:initials="">
    <w:p w14:paraId="417B52FF">
      <w:pPr>
        <w:pStyle w:val="4"/>
      </w:pPr>
      <w:r>
        <w:rPr>
          <w:rFonts w:hint="eastAsia"/>
          <w:sz w:val="24"/>
        </w:rPr>
        <w:t>作者署名位于篇名下方，不同单位的作者在姓名右上角</w:t>
      </w:r>
      <w:r>
        <w:rPr>
          <w:rFonts w:hint="eastAsia"/>
          <w:sz w:val="24"/>
          <w:lang w:val="en-US" w:eastAsia="zh-CN"/>
        </w:rPr>
        <w:t>加</w:t>
      </w:r>
      <w:r>
        <w:rPr>
          <w:rFonts w:hint="eastAsia"/>
          <w:sz w:val="24"/>
        </w:rPr>
        <w:t>注阿拉伯数字。</w:t>
      </w:r>
    </w:p>
  </w:comment>
  <w:comment w:id="2" w:author="XY" w:date="2022-10-07T10:01:25Z" w:initials="">
    <w:p w14:paraId="70337340">
      <w:pPr>
        <w:pStyle w:val="4"/>
      </w:pPr>
      <w:r>
        <w:rPr>
          <w:rFonts w:hint="eastAsia"/>
        </w:rPr>
        <w:t>单位、省份、所在城市、邮政编码。</w:t>
      </w:r>
    </w:p>
  </w:comment>
  <w:comment w:id="3" w:author="XY" w:date="2022-10-07T10:57:58Z" w:initials="">
    <w:p w14:paraId="1E5064C2">
      <w:pPr>
        <w:pStyle w:val="4"/>
      </w:pPr>
      <w:r>
        <w:rPr>
          <w:rFonts w:hint="eastAsia"/>
        </w:rPr>
        <w:t>中文摘要一般</w:t>
      </w:r>
      <w:r>
        <w:rPr>
          <w:rFonts w:hint="eastAsia"/>
          <w:lang w:val="en-US" w:eastAsia="zh-CN"/>
        </w:rPr>
        <w:t>为</w:t>
      </w:r>
      <w:r>
        <w:rPr>
          <w:rFonts w:hint="eastAsia"/>
        </w:rPr>
        <w:t>200</w:t>
      </w:r>
      <w:r>
        <w:rPr>
          <w:rFonts w:hint="eastAsia"/>
          <w:lang w:val="en-US" w:eastAsia="zh-CN"/>
        </w:rPr>
        <w:t>-300</w:t>
      </w:r>
      <w:r>
        <w:rPr>
          <w:rFonts w:hint="eastAsia"/>
        </w:rPr>
        <w:t>字，用第三人称对全文进行</w:t>
      </w:r>
      <w:r>
        <w:rPr>
          <w:rFonts w:hint="eastAsia"/>
          <w:lang w:val="en-US" w:eastAsia="zh-CN"/>
        </w:rPr>
        <w:t>高度凝练</w:t>
      </w:r>
      <w:r>
        <w:rPr>
          <w:rFonts w:hint="eastAsia"/>
        </w:rPr>
        <w:t>，禁用“本文、笔者、作者”等主语，不加诠释，不用评价性文字，不用报道语式，不用序号，不分段。摘要要求文字简洁精炼，内容客观真实，应具有独立性和自含性</w:t>
      </w:r>
      <w:r>
        <w:rPr>
          <w:rFonts w:hint="eastAsia"/>
          <w:lang w:eastAsia="zh-CN"/>
        </w:rPr>
        <w:t>，</w:t>
      </w:r>
      <w:r>
        <w:rPr>
          <w:rFonts w:hint="eastAsia"/>
          <w:lang w:val="en-US" w:eastAsia="zh-CN"/>
        </w:rPr>
        <w:t>重点说明文章研究目的、方法、结论</w:t>
      </w:r>
      <w:r>
        <w:rPr>
          <w:rFonts w:hint="eastAsia"/>
        </w:rPr>
        <w:t>。</w:t>
      </w:r>
    </w:p>
    <w:p w14:paraId="76805FA9">
      <w:pPr>
        <w:pStyle w:val="4"/>
      </w:pPr>
    </w:p>
    <w:p w14:paraId="094D7285">
      <w:pPr>
        <w:pStyle w:val="4"/>
      </w:pPr>
    </w:p>
  </w:comment>
  <w:comment w:id="4" w:author="XY" w:date="2022-10-07T10:58:53Z" w:initials="">
    <w:p w14:paraId="1F137F21">
      <w:pPr>
        <w:pStyle w:val="4"/>
      </w:pPr>
      <w:r>
        <w:rPr>
          <w:rFonts w:hint="eastAsia"/>
        </w:rPr>
        <w:t>选取反映文章主要内容的术语3</w:t>
      </w:r>
      <w:r>
        <w:rPr>
          <w:rFonts w:hint="eastAsia"/>
          <w:lang w:val="en-US" w:eastAsia="zh-CN"/>
        </w:rPr>
        <w:t>-</w:t>
      </w:r>
      <w:r>
        <w:rPr>
          <w:rFonts w:hint="eastAsia"/>
        </w:rPr>
        <w:t>5个，关键词之间用分号隔开。</w:t>
      </w:r>
    </w:p>
  </w:comment>
  <w:comment w:id="5" w:author="XY" w:date="2022-10-07T10:59:53Z" w:initials="">
    <w:p w14:paraId="32B66B21">
      <w:pPr>
        <w:pStyle w:val="4"/>
        <w:rPr>
          <w:rFonts w:hint="default" w:eastAsiaTheme="minorEastAsia"/>
          <w:lang w:val="en-US" w:eastAsia="zh-CN"/>
        </w:rPr>
      </w:pPr>
      <w:r>
        <w:rPr>
          <w:rFonts w:hint="eastAsia"/>
          <w:lang w:val="en-US" w:eastAsia="zh-CN"/>
        </w:rPr>
        <w:t>由编辑部填写。</w:t>
      </w:r>
    </w:p>
  </w:comment>
  <w:comment w:id="6" w:author="XY" w:date="2022-10-07T10:47:27Z" w:initials="">
    <w:p w14:paraId="22FA0A67">
      <w:pPr>
        <w:pStyle w:val="4"/>
      </w:pPr>
      <w:r>
        <w:rPr>
          <w:rFonts w:hint="eastAsia"/>
        </w:rPr>
        <w:t>标明项目名称</w:t>
      </w:r>
      <w:r>
        <w:rPr>
          <w:rFonts w:hint="eastAsia"/>
          <w:lang w:eastAsia="zh-CN"/>
        </w:rPr>
        <w:t>、</w:t>
      </w:r>
      <w:r>
        <w:rPr>
          <w:rFonts w:hint="eastAsia"/>
        </w:rPr>
        <w:t>基金项目编号。无基金项目可不写。</w:t>
      </w:r>
    </w:p>
  </w:comment>
  <w:comment w:id="7" w:author="XY" w:date="2022-10-07T11:07:15Z" w:initials="">
    <w:p w14:paraId="57AC397D">
      <w:pPr>
        <w:pStyle w:val="4"/>
      </w:pPr>
      <w:r>
        <w:rPr>
          <w:rFonts w:hint="eastAsia"/>
        </w:rPr>
        <w:t>写明第一作者简介即可。</w:t>
      </w:r>
      <w:r>
        <w:rPr>
          <w:rFonts w:hint="eastAsia"/>
          <w:lang w:val="en-US" w:eastAsia="zh-CN"/>
        </w:rPr>
        <w:t>作者简介包括姓名、单位、职称、学历、研究方向。</w:t>
      </w:r>
    </w:p>
  </w:comment>
  <w:comment w:id="8" w:author="XY" w:date="2022-10-07T13:49:38Z" w:initials="">
    <w:p w14:paraId="40FB10AA">
      <w:pPr>
        <w:pStyle w:val="4"/>
        <w:rPr>
          <w:rFonts w:hint="default" w:eastAsiaTheme="minorEastAsia"/>
          <w:lang w:val="en-US" w:eastAsia="zh-CN"/>
        </w:rPr>
      </w:pPr>
      <w:r>
        <w:rPr>
          <w:rFonts w:hint="eastAsia"/>
          <w:lang w:val="en-US" w:eastAsia="zh-CN"/>
        </w:rPr>
        <w:t>标题小四宋体加粗。</w:t>
      </w:r>
    </w:p>
  </w:comment>
  <w:comment w:id="9" w:author="XY" w:date="2022-10-07T13:50:09Z" w:initials="">
    <w:p w14:paraId="0AB01C5C">
      <w:pPr>
        <w:pStyle w:val="4"/>
        <w:rPr>
          <w:rFonts w:hint="default" w:eastAsiaTheme="minorEastAsia"/>
          <w:lang w:val="en-US" w:eastAsia="zh-CN"/>
        </w:rPr>
      </w:pPr>
      <w:r>
        <w:rPr>
          <w:rFonts w:hint="eastAsia"/>
          <w:lang w:val="en-US" w:eastAsia="zh-CN"/>
        </w:rPr>
        <w:t>正文字数不少于10000字，五号宋体。</w:t>
      </w:r>
    </w:p>
  </w:comment>
  <w:comment w:id="10" w:author="XY" w:date="2022-10-07T11:02:58Z" w:initials="">
    <w:p w14:paraId="6A302DFC">
      <w:pPr>
        <w:pStyle w:val="4"/>
        <w:rPr>
          <w:rFonts w:hint="eastAsia" w:eastAsiaTheme="minorEastAsia"/>
          <w:lang w:val="en-US" w:eastAsia="zh-CN"/>
        </w:rPr>
      </w:pPr>
      <w:r>
        <w:rPr>
          <w:rFonts w:hint="eastAsia" w:hAnsi="宋体" w:cs="Times New Roman"/>
        </w:rPr>
        <w:t>注释是对正文中某一特定内容的进一步解释或补充说明，以及未公开发表的私人通信、内部资料、书稿和仅有中介文献信息的“转引自”等类文献的引用著录。注释</w:t>
      </w:r>
      <w:r>
        <w:rPr>
          <w:rFonts w:hint="eastAsia" w:hAnsi="宋体" w:cs="Times New Roman"/>
          <w:lang w:val="en-US" w:eastAsia="zh-CN"/>
        </w:rPr>
        <w:t>位置为当页下，以</w:t>
      </w:r>
      <w:r>
        <w:rPr>
          <w:rFonts w:hint="eastAsia" w:hAnsi="宋体" w:cs="Times New Roman"/>
        </w:rPr>
        <w:t>①②…</w:t>
      </w:r>
      <w:r>
        <w:rPr>
          <w:rFonts w:hint="eastAsia" w:hAnsi="宋体" w:cs="Times New Roman"/>
          <w:lang w:val="en-US" w:eastAsia="zh-CN"/>
        </w:rPr>
        <w:t>全文顺序标注</w:t>
      </w:r>
      <w:r>
        <w:rPr>
          <w:rFonts w:hint="eastAsia" w:hAnsi="宋体" w:cs="Times New Roman"/>
        </w:rPr>
        <w:t>。</w:t>
      </w:r>
    </w:p>
  </w:comment>
  <w:comment w:id="11" w:author="XY" w:date="2022-10-07T11:04:27Z" w:initials="">
    <w:p w14:paraId="65633079">
      <w:pPr>
        <w:pStyle w:val="4"/>
        <w:rPr>
          <w:rFonts w:hint="default"/>
          <w:lang w:val="en-US"/>
        </w:rPr>
      </w:pPr>
      <w:r>
        <w:rPr>
          <w:rFonts w:hint="eastAsia"/>
          <w:szCs w:val="21"/>
        </w:rPr>
        <w:t>参考文献</w:t>
      </w:r>
      <w:r>
        <w:rPr>
          <w:rFonts w:hint="eastAsia"/>
          <w:szCs w:val="21"/>
          <w:lang w:val="en-US" w:eastAsia="zh-CN"/>
        </w:rPr>
        <w:t>按顺序以右上角标[1][2][3]...形式标注文中相应位置。多次引用相同文献，标注同一序号即可。无需在正文中标注参考文献作者和年份。</w:t>
      </w:r>
    </w:p>
  </w:comment>
  <w:comment w:id="12" w:author="XY" w:date="2022-10-07T11:24:35Z" w:initials="">
    <w:p w14:paraId="21F40605">
      <w:pPr>
        <w:pStyle w:val="4"/>
        <w:rPr>
          <w:rFonts w:hint="default" w:eastAsiaTheme="minorEastAsia"/>
          <w:lang w:val="en-US" w:eastAsia="zh-CN"/>
        </w:rPr>
      </w:pPr>
      <w:r>
        <w:rPr>
          <w:rFonts w:hint="eastAsia"/>
          <w:lang w:val="en-US" w:eastAsia="zh-CN"/>
        </w:rPr>
        <w:t>文章应当包含此部分，在分析已有文献基础上提出本文研究价值。</w:t>
      </w:r>
    </w:p>
  </w:comment>
  <w:comment w:id="13" w:author="XY" w:date="2022-10-07T11:06:51Z" w:initials="">
    <w:p w14:paraId="078F60D6">
      <w:pPr>
        <w:pStyle w:val="4"/>
        <w:rPr>
          <w:rFonts w:hint="default" w:eastAsiaTheme="minorEastAsia"/>
          <w:lang w:val="en-US" w:eastAsia="zh-CN"/>
        </w:rPr>
      </w:pPr>
      <w:r>
        <w:rPr>
          <w:rFonts w:hint="eastAsia"/>
        </w:rPr>
        <w:t>层级序号采用一、（一）1</w:t>
      </w:r>
      <w:r>
        <w:rPr>
          <w:rFonts w:hint="eastAsia"/>
          <w:lang w:val="en-US" w:eastAsia="zh-CN"/>
        </w:rPr>
        <w:t>.</w:t>
      </w:r>
      <w:r>
        <w:rPr>
          <w:rFonts w:hint="eastAsia"/>
        </w:rPr>
        <w:t>（1）。不宜使用1、1.1、1.1.1的层级序号。</w:t>
      </w:r>
      <w:bookmarkStart w:id="0" w:name="_GoBack"/>
      <w:bookmarkEnd w:id="0"/>
    </w:p>
  </w:comment>
  <w:comment w:id="14" w:author="XY" w:date="2022-10-07T13:54:59Z" w:initials="">
    <w:p w14:paraId="150356F4">
      <w:pPr>
        <w:pStyle w:val="4"/>
      </w:pPr>
      <w:r>
        <w:rPr>
          <w:rFonts w:hint="eastAsia" w:ascii="宋体" w:hAnsi="宋体"/>
          <w:position w:val="4"/>
          <w:sz w:val="24"/>
        </w:rPr>
        <w:t>数据处理与收集方法</w:t>
      </w:r>
      <w:r>
        <w:rPr>
          <w:rFonts w:hint="eastAsia" w:ascii="宋体" w:hAnsi="宋体"/>
          <w:position w:val="4"/>
          <w:sz w:val="24"/>
          <w:lang w:val="en-US" w:eastAsia="zh-CN"/>
        </w:rPr>
        <w:t>应</w:t>
      </w:r>
      <w:r>
        <w:rPr>
          <w:rFonts w:hint="eastAsia" w:ascii="宋体" w:hAnsi="宋体"/>
          <w:position w:val="4"/>
          <w:sz w:val="24"/>
        </w:rPr>
        <w:t>清晰</w:t>
      </w:r>
      <w:r>
        <w:rPr>
          <w:rFonts w:hint="eastAsia" w:ascii="宋体" w:hAnsi="宋体"/>
          <w:position w:val="4"/>
          <w:sz w:val="24"/>
          <w:lang w:eastAsia="zh-CN"/>
        </w:rPr>
        <w:t>、</w:t>
      </w:r>
      <w:r>
        <w:rPr>
          <w:rFonts w:hint="eastAsia" w:ascii="宋体" w:hAnsi="宋体"/>
          <w:position w:val="4"/>
          <w:sz w:val="24"/>
        </w:rPr>
        <w:t>逻辑严谨，模型应用正确，</w:t>
      </w:r>
      <w:r>
        <w:rPr>
          <w:rFonts w:hint="eastAsia" w:ascii="宋体" w:hAnsi="宋体"/>
          <w:position w:val="4"/>
          <w:sz w:val="24"/>
          <w:lang w:val="en-US" w:eastAsia="zh-CN"/>
        </w:rPr>
        <w:t>无需保留过多计算过程。</w:t>
      </w:r>
    </w:p>
  </w:comment>
  <w:comment w:id="15" w:author="XY" w:date="2022-10-07T13:56:50Z" w:initials="">
    <w:p w14:paraId="076B3151">
      <w:pPr>
        <w:pStyle w:val="4"/>
      </w:pPr>
      <w:r>
        <w:rPr>
          <w:rFonts w:hint="eastAsia"/>
          <w:lang w:val="en-US" w:eastAsia="zh-CN"/>
        </w:rPr>
        <w:t>通常为三线表，可增加辅线。</w:t>
      </w:r>
    </w:p>
  </w:comment>
  <w:comment w:id="16" w:author="XY" w:date="2025-06-13T13:11:42Z" w:initials="">
    <w:p w14:paraId="0CBAA758">
      <w:pPr>
        <w:pStyle w:val="4"/>
        <w:rPr>
          <w:rFonts w:hint="default" w:eastAsiaTheme="minorEastAsia"/>
          <w:lang w:val="en-US" w:eastAsia="zh-CN"/>
        </w:rPr>
      </w:pPr>
      <w:r>
        <w:rPr>
          <w:rFonts w:hint="eastAsia"/>
          <w:lang w:val="en-US" w:eastAsia="zh-CN"/>
        </w:rPr>
        <w:t>政策建议应具有针对性，1000字以上。</w:t>
      </w:r>
    </w:p>
  </w:comment>
  <w:comment w:id="17" w:author="XY" w:date="2022-10-07T13:41:15Z" w:initials="">
    <w:p w14:paraId="2BDC38BB">
      <w:pPr>
        <w:spacing w:line="360" w:lineRule="auto"/>
        <w:ind w:firstLine="210" w:firstLineChars="100"/>
        <w:rPr>
          <w:rFonts w:hint="default" w:eastAsiaTheme="minorEastAsia"/>
          <w:lang w:val="en-US" w:eastAsia="zh-CN"/>
        </w:rPr>
      </w:pPr>
      <w:r>
        <w:rPr>
          <w:rFonts w:hint="eastAsia"/>
          <w:szCs w:val="21"/>
        </w:rPr>
        <w:t>参考文献</w:t>
      </w:r>
      <w:r>
        <w:rPr>
          <w:rFonts w:hint="eastAsia"/>
          <w:szCs w:val="21"/>
          <w:lang w:val="en-US" w:eastAsia="zh-CN"/>
        </w:rPr>
        <w:t>按文中标注顺序排列文末。格式</w:t>
      </w:r>
      <w:r>
        <w:rPr>
          <w:rFonts w:hint="eastAsia"/>
          <w:szCs w:val="21"/>
        </w:rPr>
        <w:t>详见“《东北农业大学学报（社会科学版）》参考文献及注释著录规则”。</w:t>
      </w:r>
      <w:r>
        <w:rPr>
          <w:rFonts w:hint="eastAsia"/>
          <w:szCs w:val="21"/>
          <w:lang w:val="en-US" w:eastAsia="zh-CN"/>
        </w:rPr>
        <w:t>参考文献数量一般不超过35个。</w:t>
      </w:r>
    </w:p>
  </w:comment>
  <w:comment w:id="18" w:author="XY" w:date="2022-10-07T13:45:34Z" w:initials="">
    <w:p w14:paraId="371B1778">
      <w:pPr>
        <w:pStyle w:val="4"/>
        <w:rPr>
          <w:rFonts w:hint="default" w:eastAsiaTheme="minorEastAsia"/>
          <w:lang w:val="en-US" w:eastAsia="zh-CN"/>
        </w:rPr>
      </w:pPr>
      <w:r>
        <w:rPr>
          <w:rFonts w:hint="eastAsia"/>
          <w:lang w:val="en-US" w:eastAsia="zh-CN"/>
        </w:rPr>
        <w:t>来稿应包含以下英文内容。</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B70515F" w15:done="0"/>
  <w15:commentEx w15:paraId="417B52FF" w15:done="0"/>
  <w15:commentEx w15:paraId="70337340" w15:done="0"/>
  <w15:commentEx w15:paraId="094D7285" w15:done="0"/>
  <w15:commentEx w15:paraId="1F137F21" w15:done="0"/>
  <w15:commentEx w15:paraId="32B66B21" w15:done="0"/>
  <w15:commentEx w15:paraId="22FA0A67" w15:done="0"/>
  <w15:commentEx w15:paraId="57AC397D" w15:done="0"/>
  <w15:commentEx w15:paraId="40FB10AA" w15:done="0"/>
  <w15:commentEx w15:paraId="0AB01C5C" w15:done="0"/>
  <w15:commentEx w15:paraId="6A302DFC" w15:done="0"/>
  <w15:commentEx w15:paraId="65633079" w15:done="0"/>
  <w15:commentEx w15:paraId="21F40605" w15:done="0"/>
  <w15:commentEx w15:paraId="078F60D6" w15:done="0"/>
  <w15:commentEx w15:paraId="150356F4" w15:done="0"/>
  <w15:commentEx w15:paraId="076B3151" w15:done="0"/>
  <w15:commentEx w15:paraId="0CBAA758" w15:done="0"/>
  <w15:commentEx w15:paraId="2BDC38BB" w15:done="0"/>
  <w15:commentEx w15:paraId="371B177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3 + SimSu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4 + CAJSymbolA">
    <w:altName w:val="Segoe Print"/>
    <w:panose1 w:val="00000000000000000000"/>
    <w:charset w:val="00"/>
    <w:family w:val="auto"/>
    <w:pitch w:val="default"/>
    <w:sig w:usb0="00000000" w:usb1="00000000" w:usb2="00000000" w:usb3="00000000" w:csb0="00000000" w:csb1="00000000"/>
  </w:font>
  <w:font w:name="KTJ + ZCDFMR-2">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67657">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956E26">
                          <w:pPr>
                            <w:pStyle w:val="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29956E26">
                    <w:pPr>
                      <w:pStyle w:val="5"/>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4">
    <w:p>
      <w:r>
        <w:separator/>
      </w:r>
    </w:p>
  </w:footnote>
  <w:footnote w:type="continuationSeparator" w:id="5">
    <w:p>
      <w:r>
        <w:continuationSeparator/>
      </w:r>
    </w:p>
  </w:footnote>
  <w:footnote w:id="0">
    <w:p w14:paraId="15396D94">
      <w:pPr>
        <w:pStyle w:val="7"/>
      </w:pPr>
      <w:r>
        <w:rPr>
          <w:rFonts w:ascii="Times New Roman" w:hAnsi="Times New Roman" w:cs="Times New Roman"/>
        </w:rPr>
        <w:footnoteRef/>
      </w:r>
      <w:r>
        <w:rPr>
          <w:rFonts w:ascii="Times New Roman" w:hAnsi="Times New Roman" w:cs="Times New Roman"/>
        </w:rPr>
        <w:t>中共十</w:t>
      </w:r>
      <w:r>
        <w:rPr>
          <w:rFonts w:hint="eastAsia"/>
        </w:rPr>
        <w:t>九届四中全会《中共中央关于坚持和完善中国特色社会主义制度、推进国家治理体系和治理能力现代化若干重大问题的决定》。</w:t>
      </w:r>
    </w:p>
  </w:footnote>
  <w:footnote w:id="1">
    <w:p w14:paraId="122A55F6">
      <w:pPr>
        <w:pStyle w:val="7"/>
        <w:rPr>
          <w:rStyle w:val="14"/>
        </w:rPr>
      </w:pPr>
      <w:r>
        <w:rPr>
          <w:rFonts w:ascii="Times New Roman" w:hAnsi="Times New Roman" w:cs="Times New Roman"/>
        </w:rPr>
        <w:footnoteRef/>
      </w:r>
      <w:r>
        <w:rPr>
          <w:rFonts w:hint="eastAsia"/>
          <w:lang w:val="en-US" w:eastAsia="zh-CN"/>
        </w:rPr>
        <w:t>数据来源于</w:t>
      </w:r>
      <w:r>
        <w:rPr>
          <w:rFonts w:hint="eastAsia"/>
        </w:rPr>
        <w:t>国家统计局网站《国民经济和社会发展统计公报》：</w:t>
      </w:r>
      <w:r>
        <w:rPr>
          <w:rFonts w:hint="eastAsia"/>
        </w:rPr>
        <w:fldChar w:fldCharType="begin"/>
      </w:r>
      <w:r>
        <w:rPr>
          <w:rFonts w:hint="eastAsia"/>
        </w:rPr>
        <w:instrText xml:space="preserve"> HYPERLINK "http://www.stats.gov.cn/tjsj/tjgb/ndtjgb/index.html，年度" </w:instrText>
      </w:r>
      <w:r>
        <w:rPr>
          <w:rFonts w:hint="eastAsia"/>
        </w:rPr>
        <w:fldChar w:fldCharType="separate"/>
      </w:r>
      <w:r>
        <w:rPr>
          <w:rStyle w:val="14"/>
          <w:rFonts w:ascii="Times New Roman" w:hAnsi="Times New Roman" w:cs="Times New Roman"/>
        </w:rPr>
        <w:t>http://www.stats.gov.cn/tjsj/tjgb/ndtjgb/</w:t>
      </w:r>
      <w:r>
        <w:rPr>
          <w:rStyle w:val="14"/>
          <w:rFonts w:hint="eastAsia" w:ascii="Times New Roman" w:hAnsi="Times New Roman" w:cs="Times New Roman"/>
          <w:lang w:val="en-US" w:eastAsia="zh-CN"/>
        </w:rPr>
        <w:t xml:space="preserve"> </w:t>
      </w:r>
      <w:r>
        <w:rPr>
          <w:rStyle w:val="14"/>
          <w:rFonts w:ascii="Times New Roman" w:hAnsi="Times New Roman" w:cs="Times New Roman"/>
        </w:rPr>
        <w:t>index.html</w:t>
      </w:r>
      <w:r>
        <w:rPr>
          <w:rStyle w:val="14"/>
          <w:rFonts w:hint="eastAsia" w:ascii="Times New Roman" w:hAnsi="Times New Roman" w:cs="Times New Roman"/>
        </w:rPr>
        <w:t>，</w:t>
      </w:r>
      <w:r>
        <w:rPr>
          <w:rStyle w:val="14"/>
          <w:rFonts w:hint="eastAsia"/>
        </w:rPr>
        <w:t>年度农民工数量包括年内在本乡镇以外从业</w:t>
      </w:r>
      <w:r>
        <w:rPr>
          <w:rStyle w:val="14"/>
          <w:rFonts w:hint="eastAsia" w:ascii="Times New Roman" w:hAnsi="Times New Roman" w:cs="Times New Roman"/>
          <w:szCs w:val="18"/>
        </w:rPr>
        <w:t>6</w:t>
      </w:r>
      <w:r>
        <w:rPr>
          <w:rStyle w:val="14"/>
          <w:rFonts w:hint="eastAsia"/>
        </w:rPr>
        <w:t>个月及以上的外出农民工和在本乡镇内从事非农产业</w:t>
      </w:r>
      <w:r>
        <w:rPr>
          <w:rStyle w:val="14"/>
          <w:rFonts w:ascii="Times New Roman" w:hAnsi="Times New Roman" w:cs="Times New Roman"/>
        </w:rPr>
        <w:t>6</w:t>
      </w:r>
      <w:r>
        <w:rPr>
          <w:rStyle w:val="14"/>
          <w:rFonts w:hint="eastAsia"/>
        </w:rPr>
        <w:t>个月及以上的本地农民工</w:t>
      </w:r>
      <w:r>
        <w:rPr>
          <w:rStyle w:val="14"/>
          <w:rFonts w:hint="eastAsia"/>
          <w:lang w:eastAsia="zh-CN"/>
        </w:rPr>
        <w:t>，</w:t>
      </w:r>
      <w:r>
        <w:rPr>
          <w:rStyle w:val="14"/>
          <w:rFonts w:hint="eastAsia"/>
          <w:lang w:val="en-US" w:eastAsia="zh-CN"/>
        </w:rPr>
        <w:t>文中</w:t>
      </w:r>
      <w:r>
        <w:rPr>
          <w:rStyle w:val="14"/>
          <w:rFonts w:hint="eastAsia"/>
        </w:rPr>
        <w:t>农业转移人口、劳动力转移人口概念与农民工概念相同。</w:t>
      </w:r>
    </w:p>
    <w:p w14:paraId="011F61ED">
      <w:pPr>
        <w:pStyle w:val="7"/>
      </w:pPr>
      <w:r>
        <w:rPr>
          <w:rFonts w:hint="eastAsia"/>
        </w:rPr>
        <w:fldChar w:fldCharType="end"/>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E3C5A7"/>
    <w:multiLevelType w:val="singleLevel"/>
    <w:tmpl w:val="C7E3C5A7"/>
    <w:lvl w:ilvl="0" w:tentative="0">
      <w:start w:val="1"/>
      <w:numFmt w:val="decimal"/>
      <w:lvlText w:val="%1."/>
      <w:lvlJc w:val="left"/>
      <w:pPr>
        <w:tabs>
          <w:tab w:val="left" w:pos="312"/>
        </w:tabs>
      </w:pPr>
    </w:lvl>
  </w:abstractNum>
  <w:abstractNum w:abstractNumId="1">
    <w:nsid w:val="4E14891D"/>
    <w:multiLevelType w:val="singleLevel"/>
    <w:tmpl w:val="4E14891D"/>
    <w:lvl w:ilvl="0" w:tentative="0">
      <w:start w:val="1"/>
      <w:numFmt w:val="decimal"/>
      <w:lvlText w:val="%1."/>
      <w:lvlJc w:val="left"/>
      <w:pPr>
        <w:tabs>
          <w:tab w:val="left" w:pos="312"/>
        </w:tabs>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Y">
    <w15:presenceInfo w15:providerId="WPS Office" w15:userId="416998460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Fmt w:val="decimalEnclosedCircleChinese"/>
    <w:numRestart w:val="eachPage"/>
    <w:footnote w:id="4"/>
    <w:footnote w:id="5"/>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4Y2JlNDcxMzE2NGFhYTVmOTE3NjI2ZTdmOTgxOTAifQ=="/>
  </w:docVars>
  <w:rsids>
    <w:rsidRoot w:val="00172A27"/>
    <w:rsid w:val="00002D33"/>
    <w:rsid w:val="000177F2"/>
    <w:rsid w:val="00085E9B"/>
    <w:rsid w:val="000A7612"/>
    <w:rsid w:val="00144973"/>
    <w:rsid w:val="00147066"/>
    <w:rsid w:val="00155367"/>
    <w:rsid w:val="00172A27"/>
    <w:rsid w:val="00177069"/>
    <w:rsid w:val="0017791E"/>
    <w:rsid w:val="00192C81"/>
    <w:rsid w:val="001B291C"/>
    <w:rsid w:val="001E67C3"/>
    <w:rsid w:val="001F5263"/>
    <w:rsid w:val="00227FE7"/>
    <w:rsid w:val="0024678A"/>
    <w:rsid w:val="002657EC"/>
    <w:rsid w:val="002742A4"/>
    <w:rsid w:val="002D4E60"/>
    <w:rsid w:val="002F093A"/>
    <w:rsid w:val="00322014"/>
    <w:rsid w:val="00335302"/>
    <w:rsid w:val="00355863"/>
    <w:rsid w:val="003B513A"/>
    <w:rsid w:val="003B67D0"/>
    <w:rsid w:val="003B7263"/>
    <w:rsid w:val="003D11BF"/>
    <w:rsid w:val="0040794D"/>
    <w:rsid w:val="00421EF1"/>
    <w:rsid w:val="00463592"/>
    <w:rsid w:val="00482336"/>
    <w:rsid w:val="004874C8"/>
    <w:rsid w:val="004B3B44"/>
    <w:rsid w:val="004D72D3"/>
    <w:rsid w:val="00530A81"/>
    <w:rsid w:val="005761D5"/>
    <w:rsid w:val="0058266B"/>
    <w:rsid w:val="005A32F0"/>
    <w:rsid w:val="005B5D83"/>
    <w:rsid w:val="00627AC2"/>
    <w:rsid w:val="0065385A"/>
    <w:rsid w:val="00657BE9"/>
    <w:rsid w:val="00672C04"/>
    <w:rsid w:val="007B7BF7"/>
    <w:rsid w:val="007D30AD"/>
    <w:rsid w:val="00812088"/>
    <w:rsid w:val="00891447"/>
    <w:rsid w:val="00891840"/>
    <w:rsid w:val="008A1FFC"/>
    <w:rsid w:val="009115E7"/>
    <w:rsid w:val="00914BC5"/>
    <w:rsid w:val="00935C13"/>
    <w:rsid w:val="0096453F"/>
    <w:rsid w:val="00972032"/>
    <w:rsid w:val="0099096D"/>
    <w:rsid w:val="009C6ACF"/>
    <w:rsid w:val="009D5FAE"/>
    <w:rsid w:val="00A473C0"/>
    <w:rsid w:val="00A714BD"/>
    <w:rsid w:val="00AB2334"/>
    <w:rsid w:val="00AB38D5"/>
    <w:rsid w:val="00AC598F"/>
    <w:rsid w:val="00AE3237"/>
    <w:rsid w:val="00B51C8B"/>
    <w:rsid w:val="00BD1F23"/>
    <w:rsid w:val="00C131F1"/>
    <w:rsid w:val="00C47EE0"/>
    <w:rsid w:val="00D2463E"/>
    <w:rsid w:val="00D97759"/>
    <w:rsid w:val="00E26AB9"/>
    <w:rsid w:val="00E73CBA"/>
    <w:rsid w:val="00EC3736"/>
    <w:rsid w:val="00ED1077"/>
    <w:rsid w:val="00EF31A1"/>
    <w:rsid w:val="00F41D2A"/>
    <w:rsid w:val="00FA4CF1"/>
    <w:rsid w:val="01002BDA"/>
    <w:rsid w:val="0107445C"/>
    <w:rsid w:val="01087D69"/>
    <w:rsid w:val="010A0AD4"/>
    <w:rsid w:val="01133323"/>
    <w:rsid w:val="011334F6"/>
    <w:rsid w:val="011756BB"/>
    <w:rsid w:val="01176FF1"/>
    <w:rsid w:val="0119750A"/>
    <w:rsid w:val="011A3673"/>
    <w:rsid w:val="011A36BB"/>
    <w:rsid w:val="011B3502"/>
    <w:rsid w:val="011C708F"/>
    <w:rsid w:val="011F01E6"/>
    <w:rsid w:val="01256EEB"/>
    <w:rsid w:val="01264998"/>
    <w:rsid w:val="012A41E5"/>
    <w:rsid w:val="0135631B"/>
    <w:rsid w:val="013A77E6"/>
    <w:rsid w:val="0143708E"/>
    <w:rsid w:val="014522B0"/>
    <w:rsid w:val="01461FCD"/>
    <w:rsid w:val="014D70DA"/>
    <w:rsid w:val="015C4EBA"/>
    <w:rsid w:val="01696BAA"/>
    <w:rsid w:val="016E7C21"/>
    <w:rsid w:val="01706C2D"/>
    <w:rsid w:val="017116E5"/>
    <w:rsid w:val="0172415B"/>
    <w:rsid w:val="017E5F9D"/>
    <w:rsid w:val="018561F5"/>
    <w:rsid w:val="019815D5"/>
    <w:rsid w:val="019921A1"/>
    <w:rsid w:val="019B62C1"/>
    <w:rsid w:val="01A054EC"/>
    <w:rsid w:val="01A33D19"/>
    <w:rsid w:val="01AC02BA"/>
    <w:rsid w:val="01B41A26"/>
    <w:rsid w:val="01B651F7"/>
    <w:rsid w:val="01BF733C"/>
    <w:rsid w:val="01C51F59"/>
    <w:rsid w:val="01CE3F65"/>
    <w:rsid w:val="01D91C09"/>
    <w:rsid w:val="01DE5AD4"/>
    <w:rsid w:val="01E0798E"/>
    <w:rsid w:val="01E22B7A"/>
    <w:rsid w:val="01ED76A3"/>
    <w:rsid w:val="01EE6298"/>
    <w:rsid w:val="01F426EF"/>
    <w:rsid w:val="0209798C"/>
    <w:rsid w:val="020C2BAB"/>
    <w:rsid w:val="020C5FD3"/>
    <w:rsid w:val="020D54E0"/>
    <w:rsid w:val="021514A5"/>
    <w:rsid w:val="0216448A"/>
    <w:rsid w:val="02210C0E"/>
    <w:rsid w:val="02227EE5"/>
    <w:rsid w:val="02281261"/>
    <w:rsid w:val="022A3C3D"/>
    <w:rsid w:val="022B05D4"/>
    <w:rsid w:val="022B4890"/>
    <w:rsid w:val="022C02F0"/>
    <w:rsid w:val="022E1441"/>
    <w:rsid w:val="022F7A87"/>
    <w:rsid w:val="023023FA"/>
    <w:rsid w:val="0232443A"/>
    <w:rsid w:val="02352148"/>
    <w:rsid w:val="023663E3"/>
    <w:rsid w:val="023F148B"/>
    <w:rsid w:val="023F4A53"/>
    <w:rsid w:val="02413C8A"/>
    <w:rsid w:val="02474B08"/>
    <w:rsid w:val="024E11BC"/>
    <w:rsid w:val="024E41BE"/>
    <w:rsid w:val="024F1141"/>
    <w:rsid w:val="02501C0A"/>
    <w:rsid w:val="025108B8"/>
    <w:rsid w:val="02517969"/>
    <w:rsid w:val="025360CF"/>
    <w:rsid w:val="0256792D"/>
    <w:rsid w:val="026D507A"/>
    <w:rsid w:val="026F1A82"/>
    <w:rsid w:val="02830A1F"/>
    <w:rsid w:val="028802F1"/>
    <w:rsid w:val="028A3857"/>
    <w:rsid w:val="028C0490"/>
    <w:rsid w:val="02955698"/>
    <w:rsid w:val="029D417F"/>
    <w:rsid w:val="029F68E6"/>
    <w:rsid w:val="02A121CD"/>
    <w:rsid w:val="02A14715"/>
    <w:rsid w:val="02A60B9D"/>
    <w:rsid w:val="02AC3374"/>
    <w:rsid w:val="02AD4340"/>
    <w:rsid w:val="02AF20E0"/>
    <w:rsid w:val="02AF6F46"/>
    <w:rsid w:val="02B06BEA"/>
    <w:rsid w:val="02B06FD2"/>
    <w:rsid w:val="02B41FF3"/>
    <w:rsid w:val="02B445B6"/>
    <w:rsid w:val="02B96656"/>
    <w:rsid w:val="02BA060D"/>
    <w:rsid w:val="02BB0BD7"/>
    <w:rsid w:val="02BB58E1"/>
    <w:rsid w:val="02C36247"/>
    <w:rsid w:val="02C830C8"/>
    <w:rsid w:val="02C91337"/>
    <w:rsid w:val="02CE7CF7"/>
    <w:rsid w:val="02D23221"/>
    <w:rsid w:val="02D94B62"/>
    <w:rsid w:val="02DB7E3D"/>
    <w:rsid w:val="02E271E3"/>
    <w:rsid w:val="02E5524A"/>
    <w:rsid w:val="02E82674"/>
    <w:rsid w:val="02EC0293"/>
    <w:rsid w:val="02EF62BB"/>
    <w:rsid w:val="02F45D22"/>
    <w:rsid w:val="02F614C8"/>
    <w:rsid w:val="02FA6DB5"/>
    <w:rsid w:val="030514D9"/>
    <w:rsid w:val="03060897"/>
    <w:rsid w:val="0310039F"/>
    <w:rsid w:val="03161B47"/>
    <w:rsid w:val="031924B5"/>
    <w:rsid w:val="031930B4"/>
    <w:rsid w:val="031C29A7"/>
    <w:rsid w:val="031D109D"/>
    <w:rsid w:val="031E7D47"/>
    <w:rsid w:val="0320717E"/>
    <w:rsid w:val="0335670F"/>
    <w:rsid w:val="03426DB2"/>
    <w:rsid w:val="03457DC4"/>
    <w:rsid w:val="03483B35"/>
    <w:rsid w:val="03494923"/>
    <w:rsid w:val="035878E6"/>
    <w:rsid w:val="035C776F"/>
    <w:rsid w:val="03646B35"/>
    <w:rsid w:val="03654B83"/>
    <w:rsid w:val="036945CA"/>
    <w:rsid w:val="036E7B2B"/>
    <w:rsid w:val="03706417"/>
    <w:rsid w:val="03753F6B"/>
    <w:rsid w:val="037D39F0"/>
    <w:rsid w:val="037D5A45"/>
    <w:rsid w:val="03833D52"/>
    <w:rsid w:val="038E679E"/>
    <w:rsid w:val="039350F8"/>
    <w:rsid w:val="03961BC2"/>
    <w:rsid w:val="03982C60"/>
    <w:rsid w:val="039A0662"/>
    <w:rsid w:val="039F535B"/>
    <w:rsid w:val="03A03719"/>
    <w:rsid w:val="03A05EBE"/>
    <w:rsid w:val="03AB007D"/>
    <w:rsid w:val="03B37F31"/>
    <w:rsid w:val="03B8201E"/>
    <w:rsid w:val="03BC61FC"/>
    <w:rsid w:val="03BF7B19"/>
    <w:rsid w:val="03C04CC4"/>
    <w:rsid w:val="03C411EC"/>
    <w:rsid w:val="03C97170"/>
    <w:rsid w:val="03D21FA4"/>
    <w:rsid w:val="03D67D9F"/>
    <w:rsid w:val="03D75FB6"/>
    <w:rsid w:val="03D91E94"/>
    <w:rsid w:val="03E22BDD"/>
    <w:rsid w:val="03EE17C3"/>
    <w:rsid w:val="03F27681"/>
    <w:rsid w:val="03FA7FBE"/>
    <w:rsid w:val="03FE67D3"/>
    <w:rsid w:val="040421C9"/>
    <w:rsid w:val="040550DE"/>
    <w:rsid w:val="04075EC0"/>
    <w:rsid w:val="040C1523"/>
    <w:rsid w:val="04162C2A"/>
    <w:rsid w:val="041D65CD"/>
    <w:rsid w:val="042070C2"/>
    <w:rsid w:val="0426603D"/>
    <w:rsid w:val="042E4FC1"/>
    <w:rsid w:val="0431504A"/>
    <w:rsid w:val="04386CD9"/>
    <w:rsid w:val="043C0C2C"/>
    <w:rsid w:val="043C2E6D"/>
    <w:rsid w:val="04432510"/>
    <w:rsid w:val="044809CA"/>
    <w:rsid w:val="044D3173"/>
    <w:rsid w:val="0451600F"/>
    <w:rsid w:val="04564447"/>
    <w:rsid w:val="045A79A3"/>
    <w:rsid w:val="045D6FC0"/>
    <w:rsid w:val="046070E7"/>
    <w:rsid w:val="04607C3A"/>
    <w:rsid w:val="046744FF"/>
    <w:rsid w:val="04675118"/>
    <w:rsid w:val="046B5BCD"/>
    <w:rsid w:val="046D462B"/>
    <w:rsid w:val="046F71A0"/>
    <w:rsid w:val="047267A9"/>
    <w:rsid w:val="047D4230"/>
    <w:rsid w:val="047E0A21"/>
    <w:rsid w:val="047F5E77"/>
    <w:rsid w:val="048134A3"/>
    <w:rsid w:val="04836DE3"/>
    <w:rsid w:val="04841EA1"/>
    <w:rsid w:val="04884ACF"/>
    <w:rsid w:val="04884EBC"/>
    <w:rsid w:val="048F2A65"/>
    <w:rsid w:val="049022C5"/>
    <w:rsid w:val="049602CC"/>
    <w:rsid w:val="049743B6"/>
    <w:rsid w:val="049A319E"/>
    <w:rsid w:val="049F0D1A"/>
    <w:rsid w:val="04A839B5"/>
    <w:rsid w:val="04A85DAB"/>
    <w:rsid w:val="04AA0937"/>
    <w:rsid w:val="04AB09F3"/>
    <w:rsid w:val="04AC497B"/>
    <w:rsid w:val="04AF5C41"/>
    <w:rsid w:val="04B73946"/>
    <w:rsid w:val="04C01A29"/>
    <w:rsid w:val="04C41590"/>
    <w:rsid w:val="04C751DB"/>
    <w:rsid w:val="04C77798"/>
    <w:rsid w:val="04CB7ACC"/>
    <w:rsid w:val="04CC611F"/>
    <w:rsid w:val="04D72452"/>
    <w:rsid w:val="04DE1E26"/>
    <w:rsid w:val="04F67FB7"/>
    <w:rsid w:val="04FC5DCF"/>
    <w:rsid w:val="05004C23"/>
    <w:rsid w:val="05033ABA"/>
    <w:rsid w:val="05082F9A"/>
    <w:rsid w:val="05111361"/>
    <w:rsid w:val="051503A5"/>
    <w:rsid w:val="05164A6C"/>
    <w:rsid w:val="0516655E"/>
    <w:rsid w:val="0518122C"/>
    <w:rsid w:val="051C7CED"/>
    <w:rsid w:val="051D4697"/>
    <w:rsid w:val="051F5530"/>
    <w:rsid w:val="0520465A"/>
    <w:rsid w:val="05273872"/>
    <w:rsid w:val="052B7C1C"/>
    <w:rsid w:val="053468FD"/>
    <w:rsid w:val="05351A2D"/>
    <w:rsid w:val="053B5D09"/>
    <w:rsid w:val="053D39A3"/>
    <w:rsid w:val="0540072A"/>
    <w:rsid w:val="05447760"/>
    <w:rsid w:val="05450EDA"/>
    <w:rsid w:val="054901B6"/>
    <w:rsid w:val="05495B31"/>
    <w:rsid w:val="054B513B"/>
    <w:rsid w:val="054D5C33"/>
    <w:rsid w:val="054E6953"/>
    <w:rsid w:val="0550459A"/>
    <w:rsid w:val="0550798F"/>
    <w:rsid w:val="0553194E"/>
    <w:rsid w:val="055C48B5"/>
    <w:rsid w:val="055D7967"/>
    <w:rsid w:val="05654EA0"/>
    <w:rsid w:val="05706143"/>
    <w:rsid w:val="05720570"/>
    <w:rsid w:val="057D0FAC"/>
    <w:rsid w:val="05816EDE"/>
    <w:rsid w:val="058954F3"/>
    <w:rsid w:val="058E71E5"/>
    <w:rsid w:val="05946069"/>
    <w:rsid w:val="059B7CCF"/>
    <w:rsid w:val="059E6453"/>
    <w:rsid w:val="05A03188"/>
    <w:rsid w:val="05A67924"/>
    <w:rsid w:val="05A71163"/>
    <w:rsid w:val="05A879E1"/>
    <w:rsid w:val="05AC2066"/>
    <w:rsid w:val="05B435C1"/>
    <w:rsid w:val="05BC1ED2"/>
    <w:rsid w:val="05BC61EF"/>
    <w:rsid w:val="05BF6E65"/>
    <w:rsid w:val="05C14D13"/>
    <w:rsid w:val="05C15AD3"/>
    <w:rsid w:val="05C258C4"/>
    <w:rsid w:val="05CD6792"/>
    <w:rsid w:val="05CE700A"/>
    <w:rsid w:val="05D45CE8"/>
    <w:rsid w:val="05D671C9"/>
    <w:rsid w:val="05D94C07"/>
    <w:rsid w:val="05DD6396"/>
    <w:rsid w:val="05DE4E3A"/>
    <w:rsid w:val="05E2408A"/>
    <w:rsid w:val="05E3252D"/>
    <w:rsid w:val="05E57D87"/>
    <w:rsid w:val="05E77402"/>
    <w:rsid w:val="05E85185"/>
    <w:rsid w:val="05EC19CA"/>
    <w:rsid w:val="05EC6305"/>
    <w:rsid w:val="05ED6B66"/>
    <w:rsid w:val="05F4121F"/>
    <w:rsid w:val="05F42109"/>
    <w:rsid w:val="05F64E79"/>
    <w:rsid w:val="06001467"/>
    <w:rsid w:val="0600223F"/>
    <w:rsid w:val="06043878"/>
    <w:rsid w:val="0607250E"/>
    <w:rsid w:val="060D516E"/>
    <w:rsid w:val="060D757F"/>
    <w:rsid w:val="061069C0"/>
    <w:rsid w:val="06131C0A"/>
    <w:rsid w:val="06142E6E"/>
    <w:rsid w:val="061932F5"/>
    <w:rsid w:val="06210388"/>
    <w:rsid w:val="06210EF7"/>
    <w:rsid w:val="06274A61"/>
    <w:rsid w:val="06360CF5"/>
    <w:rsid w:val="063B4B72"/>
    <w:rsid w:val="063D414E"/>
    <w:rsid w:val="06411FA9"/>
    <w:rsid w:val="064413E9"/>
    <w:rsid w:val="0646418B"/>
    <w:rsid w:val="06482CA0"/>
    <w:rsid w:val="064A1148"/>
    <w:rsid w:val="064B536E"/>
    <w:rsid w:val="064C6D01"/>
    <w:rsid w:val="06586994"/>
    <w:rsid w:val="06593027"/>
    <w:rsid w:val="065A68B1"/>
    <w:rsid w:val="066735B9"/>
    <w:rsid w:val="066D0983"/>
    <w:rsid w:val="06727309"/>
    <w:rsid w:val="067863B6"/>
    <w:rsid w:val="06844ACF"/>
    <w:rsid w:val="068807D2"/>
    <w:rsid w:val="068D570A"/>
    <w:rsid w:val="068D6DED"/>
    <w:rsid w:val="06900FC6"/>
    <w:rsid w:val="0691422A"/>
    <w:rsid w:val="069867E8"/>
    <w:rsid w:val="06A462F3"/>
    <w:rsid w:val="06A57397"/>
    <w:rsid w:val="06BB3450"/>
    <w:rsid w:val="06BB35FC"/>
    <w:rsid w:val="06C41F8C"/>
    <w:rsid w:val="06CD69EF"/>
    <w:rsid w:val="06D23276"/>
    <w:rsid w:val="06D47781"/>
    <w:rsid w:val="06D92861"/>
    <w:rsid w:val="06DD2821"/>
    <w:rsid w:val="06E40F32"/>
    <w:rsid w:val="06E64F3A"/>
    <w:rsid w:val="06ED051B"/>
    <w:rsid w:val="06ED5A9F"/>
    <w:rsid w:val="06F1029A"/>
    <w:rsid w:val="06F31F1A"/>
    <w:rsid w:val="06F451AF"/>
    <w:rsid w:val="06FF30F4"/>
    <w:rsid w:val="07007518"/>
    <w:rsid w:val="07080F85"/>
    <w:rsid w:val="07103704"/>
    <w:rsid w:val="071427EA"/>
    <w:rsid w:val="07144388"/>
    <w:rsid w:val="07150D74"/>
    <w:rsid w:val="071B6273"/>
    <w:rsid w:val="071C091F"/>
    <w:rsid w:val="07211EB0"/>
    <w:rsid w:val="0721666E"/>
    <w:rsid w:val="07223531"/>
    <w:rsid w:val="072A7B67"/>
    <w:rsid w:val="072B478B"/>
    <w:rsid w:val="072B589E"/>
    <w:rsid w:val="072E34E3"/>
    <w:rsid w:val="072F157D"/>
    <w:rsid w:val="07334A00"/>
    <w:rsid w:val="07335C4F"/>
    <w:rsid w:val="07362110"/>
    <w:rsid w:val="07441FFF"/>
    <w:rsid w:val="07444AC4"/>
    <w:rsid w:val="074E7BB6"/>
    <w:rsid w:val="074F1154"/>
    <w:rsid w:val="074F49E5"/>
    <w:rsid w:val="07503BE5"/>
    <w:rsid w:val="07654E5A"/>
    <w:rsid w:val="07662A18"/>
    <w:rsid w:val="076B1828"/>
    <w:rsid w:val="076C3C0E"/>
    <w:rsid w:val="07700E35"/>
    <w:rsid w:val="07725154"/>
    <w:rsid w:val="07732871"/>
    <w:rsid w:val="077A268D"/>
    <w:rsid w:val="077B24FB"/>
    <w:rsid w:val="077F3338"/>
    <w:rsid w:val="07841837"/>
    <w:rsid w:val="078F2A65"/>
    <w:rsid w:val="079747D3"/>
    <w:rsid w:val="07A3394A"/>
    <w:rsid w:val="07A4331D"/>
    <w:rsid w:val="07AA43EF"/>
    <w:rsid w:val="07AC177F"/>
    <w:rsid w:val="07B00770"/>
    <w:rsid w:val="07B72A94"/>
    <w:rsid w:val="07BD23E7"/>
    <w:rsid w:val="07BE4233"/>
    <w:rsid w:val="07BE59E8"/>
    <w:rsid w:val="07BF7FE9"/>
    <w:rsid w:val="07C17E1F"/>
    <w:rsid w:val="07CA4C3B"/>
    <w:rsid w:val="07CA586D"/>
    <w:rsid w:val="07CB1BB4"/>
    <w:rsid w:val="07D0474E"/>
    <w:rsid w:val="07DA3EA9"/>
    <w:rsid w:val="07DD1E8B"/>
    <w:rsid w:val="07DD2894"/>
    <w:rsid w:val="07E03E7E"/>
    <w:rsid w:val="07E64827"/>
    <w:rsid w:val="07E67F01"/>
    <w:rsid w:val="07E96201"/>
    <w:rsid w:val="07EB3DF0"/>
    <w:rsid w:val="07F164DB"/>
    <w:rsid w:val="07F32A14"/>
    <w:rsid w:val="07F51DE1"/>
    <w:rsid w:val="07F7784E"/>
    <w:rsid w:val="080007F1"/>
    <w:rsid w:val="0808555C"/>
    <w:rsid w:val="080E7D29"/>
    <w:rsid w:val="081458E6"/>
    <w:rsid w:val="081C4994"/>
    <w:rsid w:val="081C5C11"/>
    <w:rsid w:val="081D42F0"/>
    <w:rsid w:val="0822229B"/>
    <w:rsid w:val="08244A54"/>
    <w:rsid w:val="08406AA5"/>
    <w:rsid w:val="08444DC1"/>
    <w:rsid w:val="08450086"/>
    <w:rsid w:val="08472D60"/>
    <w:rsid w:val="08474FC4"/>
    <w:rsid w:val="08482CA7"/>
    <w:rsid w:val="085665ED"/>
    <w:rsid w:val="08583009"/>
    <w:rsid w:val="08686311"/>
    <w:rsid w:val="086A694B"/>
    <w:rsid w:val="086D59C2"/>
    <w:rsid w:val="086E1C5C"/>
    <w:rsid w:val="08733CDD"/>
    <w:rsid w:val="087D3834"/>
    <w:rsid w:val="08821472"/>
    <w:rsid w:val="08852300"/>
    <w:rsid w:val="08863965"/>
    <w:rsid w:val="0889019F"/>
    <w:rsid w:val="088B64FE"/>
    <w:rsid w:val="089F7E87"/>
    <w:rsid w:val="08A22AC8"/>
    <w:rsid w:val="08A4111B"/>
    <w:rsid w:val="08AA07F5"/>
    <w:rsid w:val="08AC3FF8"/>
    <w:rsid w:val="08B40AB2"/>
    <w:rsid w:val="08B93C88"/>
    <w:rsid w:val="08BA5DD4"/>
    <w:rsid w:val="08C046C4"/>
    <w:rsid w:val="08C904D9"/>
    <w:rsid w:val="08CA3804"/>
    <w:rsid w:val="08CC74E8"/>
    <w:rsid w:val="08D055FC"/>
    <w:rsid w:val="08D43718"/>
    <w:rsid w:val="08D44F6E"/>
    <w:rsid w:val="08DF7B5E"/>
    <w:rsid w:val="08E317F5"/>
    <w:rsid w:val="08E612E1"/>
    <w:rsid w:val="08EF7722"/>
    <w:rsid w:val="08F42E51"/>
    <w:rsid w:val="08FA3869"/>
    <w:rsid w:val="08FC7FEA"/>
    <w:rsid w:val="090734D4"/>
    <w:rsid w:val="09090259"/>
    <w:rsid w:val="090A2DF4"/>
    <w:rsid w:val="090E772D"/>
    <w:rsid w:val="091066FF"/>
    <w:rsid w:val="091129FC"/>
    <w:rsid w:val="091320AA"/>
    <w:rsid w:val="09191EB0"/>
    <w:rsid w:val="091B6CBC"/>
    <w:rsid w:val="091D0351"/>
    <w:rsid w:val="0922063C"/>
    <w:rsid w:val="09226CDE"/>
    <w:rsid w:val="0926071C"/>
    <w:rsid w:val="092E4C4E"/>
    <w:rsid w:val="0931068F"/>
    <w:rsid w:val="093E05D7"/>
    <w:rsid w:val="093E4CE9"/>
    <w:rsid w:val="09401844"/>
    <w:rsid w:val="0945292F"/>
    <w:rsid w:val="094C3A5D"/>
    <w:rsid w:val="09573A99"/>
    <w:rsid w:val="095B6FB7"/>
    <w:rsid w:val="095C6CCE"/>
    <w:rsid w:val="09604F02"/>
    <w:rsid w:val="09644BCA"/>
    <w:rsid w:val="09671BE3"/>
    <w:rsid w:val="096B5E46"/>
    <w:rsid w:val="09731BE3"/>
    <w:rsid w:val="09755F09"/>
    <w:rsid w:val="0975734D"/>
    <w:rsid w:val="0978310C"/>
    <w:rsid w:val="097C0A44"/>
    <w:rsid w:val="098561B8"/>
    <w:rsid w:val="098D124E"/>
    <w:rsid w:val="099204A8"/>
    <w:rsid w:val="099C72B0"/>
    <w:rsid w:val="099E0365"/>
    <w:rsid w:val="099E7B5F"/>
    <w:rsid w:val="09A07DDA"/>
    <w:rsid w:val="09A169E8"/>
    <w:rsid w:val="09A55379"/>
    <w:rsid w:val="09A64B49"/>
    <w:rsid w:val="09A908EB"/>
    <w:rsid w:val="09B32505"/>
    <w:rsid w:val="09B81E2D"/>
    <w:rsid w:val="09B84C3D"/>
    <w:rsid w:val="09BE01A2"/>
    <w:rsid w:val="09C00AD1"/>
    <w:rsid w:val="09C37DBC"/>
    <w:rsid w:val="09C476AD"/>
    <w:rsid w:val="09C8635D"/>
    <w:rsid w:val="09CC04B3"/>
    <w:rsid w:val="09D418A4"/>
    <w:rsid w:val="09D84BA2"/>
    <w:rsid w:val="09D86863"/>
    <w:rsid w:val="09DC5411"/>
    <w:rsid w:val="09DF7583"/>
    <w:rsid w:val="09E935B6"/>
    <w:rsid w:val="09EF10F1"/>
    <w:rsid w:val="09F12266"/>
    <w:rsid w:val="09F77E91"/>
    <w:rsid w:val="0A0C5287"/>
    <w:rsid w:val="0A10001A"/>
    <w:rsid w:val="0A101924"/>
    <w:rsid w:val="0A1504BF"/>
    <w:rsid w:val="0A16078E"/>
    <w:rsid w:val="0A16573F"/>
    <w:rsid w:val="0A19464C"/>
    <w:rsid w:val="0A197D08"/>
    <w:rsid w:val="0A1E3360"/>
    <w:rsid w:val="0A21446A"/>
    <w:rsid w:val="0A227370"/>
    <w:rsid w:val="0A25582C"/>
    <w:rsid w:val="0A2C4A45"/>
    <w:rsid w:val="0A3543E0"/>
    <w:rsid w:val="0A38044A"/>
    <w:rsid w:val="0A386485"/>
    <w:rsid w:val="0A4204D8"/>
    <w:rsid w:val="0A495293"/>
    <w:rsid w:val="0A5540D7"/>
    <w:rsid w:val="0A5C1751"/>
    <w:rsid w:val="0A645955"/>
    <w:rsid w:val="0A65462F"/>
    <w:rsid w:val="0A680FB4"/>
    <w:rsid w:val="0A6E3171"/>
    <w:rsid w:val="0A7108ED"/>
    <w:rsid w:val="0A763A86"/>
    <w:rsid w:val="0A7B2DA6"/>
    <w:rsid w:val="0A810213"/>
    <w:rsid w:val="0A8302EA"/>
    <w:rsid w:val="0A877F25"/>
    <w:rsid w:val="0A8F66C7"/>
    <w:rsid w:val="0A8F779A"/>
    <w:rsid w:val="0A965A57"/>
    <w:rsid w:val="0A975BD3"/>
    <w:rsid w:val="0A9F467F"/>
    <w:rsid w:val="0A9F53EB"/>
    <w:rsid w:val="0AA17974"/>
    <w:rsid w:val="0AA24CE5"/>
    <w:rsid w:val="0AB00784"/>
    <w:rsid w:val="0ABC1C3F"/>
    <w:rsid w:val="0AC7714F"/>
    <w:rsid w:val="0AC9076A"/>
    <w:rsid w:val="0ACF7151"/>
    <w:rsid w:val="0AD065A4"/>
    <w:rsid w:val="0AD378F1"/>
    <w:rsid w:val="0AD51CF3"/>
    <w:rsid w:val="0AD61423"/>
    <w:rsid w:val="0ADA7F40"/>
    <w:rsid w:val="0ADB2E3D"/>
    <w:rsid w:val="0ADC5E2A"/>
    <w:rsid w:val="0AE40ADC"/>
    <w:rsid w:val="0AE769A8"/>
    <w:rsid w:val="0AE93588"/>
    <w:rsid w:val="0AF13D09"/>
    <w:rsid w:val="0AFA774A"/>
    <w:rsid w:val="0AFE4552"/>
    <w:rsid w:val="0B0308FC"/>
    <w:rsid w:val="0B062479"/>
    <w:rsid w:val="0B08439A"/>
    <w:rsid w:val="0B097D12"/>
    <w:rsid w:val="0B14473B"/>
    <w:rsid w:val="0B146D93"/>
    <w:rsid w:val="0B16009F"/>
    <w:rsid w:val="0B1A492C"/>
    <w:rsid w:val="0B1B7CA1"/>
    <w:rsid w:val="0B1C709C"/>
    <w:rsid w:val="0B245B42"/>
    <w:rsid w:val="0B263364"/>
    <w:rsid w:val="0B2872E1"/>
    <w:rsid w:val="0B2C27E4"/>
    <w:rsid w:val="0B2D27C7"/>
    <w:rsid w:val="0B2F3FB3"/>
    <w:rsid w:val="0B300E65"/>
    <w:rsid w:val="0B32445C"/>
    <w:rsid w:val="0B3909DC"/>
    <w:rsid w:val="0B3B16D1"/>
    <w:rsid w:val="0B3C6C8B"/>
    <w:rsid w:val="0B4129FE"/>
    <w:rsid w:val="0B4878D1"/>
    <w:rsid w:val="0B493A39"/>
    <w:rsid w:val="0B542D2B"/>
    <w:rsid w:val="0B5549AA"/>
    <w:rsid w:val="0B554C85"/>
    <w:rsid w:val="0B61797E"/>
    <w:rsid w:val="0B644697"/>
    <w:rsid w:val="0B6564B1"/>
    <w:rsid w:val="0B6F77F3"/>
    <w:rsid w:val="0B7848A5"/>
    <w:rsid w:val="0B7946B2"/>
    <w:rsid w:val="0B796C7F"/>
    <w:rsid w:val="0B7D1E15"/>
    <w:rsid w:val="0B864963"/>
    <w:rsid w:val="0B870341"/>
    <w:rsid w:val="0B873B3C"/>
    <w:rsid w:val="0B883331"/>
    <w:rsid w:val="0B892094"/>
    <w:rsid w:val="0B8A1ECB"/>
    <w:rsid w:val="0B8D6B8D"/>
    <w:rsid w:val="0B8D7BE1"/>
    <w:rsid w:val="0B8F41E0"/>
    <w:rsid w:val="0B8F6D9D"/>
    <w:rsid w:val="0B987885"/>
    <w:rsid w:val="0B9A468B"/>
    <w:rsid w:val="0B9B289C"/>
    <w:rsid w:val="0B9C5163"/>
    <w:rsid w:val="0B9F60FA"/>
    <w:rsid w:val="0BA05DB3"/>
    <w:rsid w:val="0BA376CE"/>
    <w:rsid w:val="0BAD39CD"/>
    <w:rsid w:val="0BBA4638"/>
    <w:rsid w:val="0BC21408"/>
    <w:rsid w:val="0BC23EEF"/>
    <w:rsid w:val="0BC63BC0"/>
    <w:rsid w:val="0BCA0357"/>
    <w:rsid w:val="0BCD5696"/>
    <w:rsid w:val="0BCE05CF"/>
    <w:rsid w:val="0BCE4F3A"/>
    <w:rsid w:val="0BD22438"/>
    <w:rsid w:val="0BD2493B"/>
    <w:rsid w:val="0BD33951"/>
    <w:rsid w:val="0BDA2D61"/>
    <w:rsid w:val="0BE02671"/>
    <w:rsid w:val="0BE06029"/>
    <w:rsid w:val="0BE627A0"/>
    <w:rsid w:val="0BE66E13"/>
    <w:rsid w:val="0BE83782"/>
    <w:rsid w:val="0BF215FD"/>
    <w:rsid w:val="0BFC7A63"/>
    <w:rsid w:val="0C011BCC"/>
    <w:rsid w:val="0C022013"/>
    <w:rsid w:val="0C033FDE"/>
    <w:rsid w:val="0C080FF5"/>
    <w:rsid w:val="0C0D1C32"/>
    <w:rsid w:val="0C1702C0"/>
    <w:rsid w:val="0C2B7DFA"/>
    <w:rsid w:val="0C2F2272"/>
    <w:rsid w:val="0C330E41"/>
    <w:rsid w:val="0C38309D"/>
    <w:rsid w:val="0C3F7F4D"/>
    <w:rsid w:val="0C4A3332"/>
    <w:rsid w:val="0C4B0158"/>
    <w:rsid w:val="0C516FEF"/>
    <w:rsid w:val="0C5C0807"/>
    <w:rsid w:val="0C657408"/>
    <w:rsid w:val="0C664D03"/>
    <w:rsid w:val="0C6962C9"/>
    <w:rsid w:val="0C6C1BF5"/>
    <w:rsid w:val="0C6E4256"/>
    <w:rsid w:val="0C6E6A5A"/>
    <w:rsid w:val="0C745320"/>
    <w:rsid w:val="0C766F16"/>
    <w:rsid w:val="0C7B23CC"/>
    <w:rsid w:val="0C7F23EE"/>
    <w:rsid w:val="0C853E94"/>
    <w:rsid w:val="0C892204"/>
    <w:rsid w:val="0C915FD6"/>
    <w:rsid w:val="0C924907"/>
    <w:rsid w:val="0C972713"/>
    <w:rsid w:val="0C986987"/>
    <w:rsid w:val="0CB136DE"/>
    <w:rsid w:val="0CB16B1A"/>
    <w:rsid w:val="0CB349A7"/>
    <w:rsid w:val="0CB66FE4"/>
    <w:rsid w:val="0CB87C35"/>
    <w:rsid w:val="0CBA6319"/>
    <w:rsid w:val="0CBD438B"/>
    <w:rsid w:val="0CBE0496"/>
    <w:rsid w:val="0CBF574E"/>
    <w:rsid w:val="0CC065CA"/>
    <w:rsid w:val="0CC47EC0"/>
    <w:rsid w:val="0CE57F14"/>
    <w:rsid w:val="0CE73900"/>
    <w:rsid w:val="0CE74710"/>
    <w:rsid w:val="0CE827DB"/>
    <w:rsid w:val="0CEF7A20"/>
    <w:rsid w:val="0CF36ED4"/>
    <w:rsid w:val="0D0451AE"/>
    <w:rsid w:val="0D050613"/>
    <w:rsid w:val="0D054800"/>
    <w:rsid w:val="0D084DB0"/>
    <w:rsid w:val="0D1423A4"/>
    <w:rsid w:val="0D181189"/>
    <w:rsid w:val="0D195559"/>
    <w:rsid w:val="0D1A61FD"/>
    <w:rsid w:val="0D21530B"/>
    <w:rsid w:val="0D261D16"/>
    <w:rsid w:val="0D2710AA"/>
    <w:rsid w:val="0D4122E1"/>
    <w:rsid w:val="0D4427F2"/>
    <w:rsid w:val="0D4505FB"/>
    <w:rsid w:val="0D4A22B0"/>
    <w:rsid w:val="0D4C30BE"/>
    <w:rsid w:val="0D4F2903"/>
    <w:rsid w:val="0D5030C4"/>
    <w:rsid w:val="0D560AD8"/>
    <w:rsid w:val="0D5640C1"/>
    <w:rsid w:val="0D582621"/>
    <w:rsid w:val="0D5D11B6"/>
    <w:rsid w:val="0D606DC0"/>
    <w:rsid w:val="0D666344"/>
    <w:rsid w:val="0D6703AB"/>
    <w:rsid w:val="0D6B665C"/>
    <w:rsid w:val="0D6D0DCC"/>
    <w:rsid w:val="0D7D7CDA"/>
    <w:rsid w:val="0D7E718B"/>
    <w:rsid w:val="0D7F6BF1"/>
    <w:rsid w:val="0D863320"/>
    <w:rsid w:val="0D89769E"/>
    <w:rsid w:val="0D8A4D54"/>
    <w:rsid w:val="0D8D46F8"/>
    <w:rsid w:val="0D8E0299"/>
    <w:rsid w:val="0D98237D"/>
    <w:rsid w:val="0D9C0425"/>
    <w:rsid w:val="0D9C1870"/>
    <w:rsid w:val="0DA04A25"/>
    <w:rsid w:val="0DA309AD"/>
    <w:rsid w:val="0DA70A45"/>
    <w:rsid w:val="0DB63119"/>
    <w:rsid w:val="0DB81072"/>
    <w:rsid w:val="0DBE2C76"/>
    <w:rsid w:val="0DBF0E2D"/>
    <w:rsid w:val="0DD2547E"/>
    <w:rsid w:val="0DD3737C"/>
    <w:rsid w:val="0DDB72CA"/>
    <w:rsid w:val="0DDF35E8"/>
    <w:rsid w:val="0DE15F0B"/>
    <w:rsid w:val="0DE269D1"/>
    <w:rsid w:val="0DE42261"/>
    <w:rsid w:val="0DE51791"/>
    <w:rsid w:val="0DEF6177"/>
    <w:rsid w:val="0DF067A4"/>
    <w:rsid w:val="0DFA49DF"/>
    <w:rsid w:val="0DFB3D6F"/>
    <w:rsid w:val="0E007E2E"/>
    <w:rsid w:val="0E066F9E"/>
    <w:rsid w:val="0E070CD1"/>
    <w:rsid w:val="0E1F4787"/>
    <w:rsid w:val="0E1F7424"/>
    <w:rsid w:val="0E2A5362"/>
    <w:rsid w:val="0E2B20F6"/>
    <w:rsid w:val="0E2C4616"/>
    <w:rsid w:val="0E30041D"/>
    <w:rsid w:val="0E3725DD"/>
    <w:rsid w:val="0E3945D7"/>
    <w:rsid w:val="0E3B58F3"/>
    <w:rsid w:val="0E3E38CE"/>
    <w:rsid w:val="0E411B30"/>
    <w:rsid w:val="0E421E83"/>
    <w:rsid w:val="0E433628"/>
    <w:rsid w:val="0E466E18"/>
    <w:rsid w:val="0E4A3AA9"/>
    <w:rsid w:val="0E4B707B"/>
    <w:rsid w:val="0E4D7D2D"/>
    <w:rsid w:val="0E571D89"/>
    <w:rsid w:val="0E5B0FA8"/>
    <w:rsid w:val="0E5B10C5"/>
    <w:rsid w:val="0E5F3229"/>
    <w:rsid w:val="0E5F3471"/>
    <w:rsid w:val="0E607F92"/>
    <w:rsid w:val="0E665A8D"/>
    <w:rsid w:val="0E676041"/>
    <w:rsid w:val="0E6B08EE"/>
    <w:rsid w:val="0E723191"/>
    <w:rsid w:val="0E750A94"/>
    <w:rsid w:val="0E7D0EF0"/>
    <w:rsid w:val="0E7D64CC"/>
    <w:rsid w:val="0E813467"/>
    <w:rsid w:val="0E817EDB"/>
    <w:rsid w:val="0E883D6A"/>
    <w:rsid w:val="0E886D0F"/>
    <w:rsid w:val="0E8959E8"/>
    <w:rsid w:val="0E9D2210"/>
    <w:rsid w:val="0EA16413"/>
    <w:rsid w:val="0EA75D99"/>
    <w:rsid w:val="0EAF00E3"/>
    <w:rsid w:val="0EBA5C50"/>
    <w:rsid w:val="0EBA79F5"/>
    <w:rsid w:val="0EBC41AA"/>
    <w:rsid w:val="0EBD4F1B"/>
    <w:rsid w:val="0EC377C9"/>
    <w:rsid w:val="0ED20466"/>
    <w:rsid w:val="0ED330A8"/>
    <w:rsid w:val="0ED36A52"/>
    <w:rsid w:val="0ED6064E"/>
    <w:rsid w:val="0EDA3137"/>
    <w:rsid w:val="0EDE0BEF"/>
    <w:rsid w:val="0EE070E7"/>
    <w:rsid w:val="0EE61534"/>
    <w:rsid w:val="0EE6532F"/>
    <w:rsid w:val="0EE83682"/>
    <w:rsid w:val="0EE95250"/>
    <w:rsid w:val="0EEB2F92"/>
    <w:rsid w:val="0EEC25ED"/>
    <w:rsid w:val="0EF33631"/>
    <w:rsid w:val="0EF73A7D"/>
    <w:rsid w:val="0EFB3EFC"/>
    <w:rsid w:val="0EFB7C20"/>
    <w:rsid w:val="0F012EF3"/>
    <w:rsid w:val="0F052E66"/>
    <w:rsid w:val="0F0D6802"/>
    <w:rsid w:val="0F110B33"/>
    <w:rsid w:val="0F14557D"/>
    <w:rsid w:val="0F18311C"/>
    <w:rsid w:val="0F1A7038"/>
    <w:rsid w:val="0F2626A7"/>
    <w:rsid w:val="0F292E14"/>
    <w:rsid w:val="0F33328A"/>
    <w:rsid w:val="0F3646F9"/>
    <w:rsid w:val="0F393C19"/>
    <w:rsid w:val="0F3E3397"/>
    <w:rsid w:val="0F3F7D1C"/>
    <w:rsid w:val="0F40032D"/>
    <w:rsid w:val="0F484385"/>
    <w:rsid w:val="0F4963E7"/>
    <w:rsid w:val="0F49669F"/>
    <w:rsid w:val="0F4A79FD"/>
    <w:rsid w:val="0F4D7EBF"/>
    <w:rsid w:val="0F517424"/>
    <w:rsid w:val="0F5400EF"/>
    <w:rsid w:val="0F57254D"/>
    <w:rsid w:val="0F6151FC"/>
    <w:rsid w:val="0F63162F"/>
    <w:rsid w:val="0F681997"/>
    <w:rsid w:val="0F6A7340"/>
    <w:rsid w:val="0F6F215A"/>
    <w:rsid w:val="0F7309A6"/>
    <w:rsid w:val="0F731430"/>
    <w:rsid w:val="0F7A69C2"/>
    <w:rsid w:val="0F7B418F"/>
    <w:rsid w:val="0F827060"/>
    <w:rsid w:val="0F8944DD"/>
    <w:rsid w:val="0F8A2E32"/>
    <w:rsid w:val="0F8F0B51"/>
    <w:rsid w:val="0F90087C"/>
    <w:rsid w:val="0F946D7D"/>
    <w:rsid w:val="0F9948C6"/>
    <w:rsid w:val="0FA2576D"/>
    <w:rsid w:val="0FA6715A"/>
    <w:rsid w:val="0FAC5A46"/>
    <w:rsid w:val="0FAF7F45"/>
    <w:rsid w:val="0FB23FEA"/>
    <w:rsid w:val="0FB81DA2"/>
    <w:rsid w:val="0FBA5AED"/>
    <w:rsid w:val="0FBE7F12"/>
    <w:rsid w:val="0FC51359"/>
    <w:rsid w:val="0FC61407"/>
    <w:rsid w:val="0FC83F1E"/>
    <w:rsid w:val="0FCA009D"/>
    <w:rsid w:val="0FCF2975"/>
    <w:rsid w:val="0FDA3F7B"/>
    <w:rsid w:val="0FEB2FD0"/>
    <w:rsid w:val="0FEB3C8D"/>
    <w:rsid w:val="0FEF6395"/>
    <w:rsid w:val="0FEF6DCA"/>
    <w:rsid w:val="0FF01E45"/>
    <w:rsid w:val="0FF14E7A"/>
    <w:rsid w:val="0FF75BC0"/>
    <w:rsid w:val="0FF82C9E"/>
    <w:rsid w:val="0FF82DB5"/>
    <w:rsid w:val="0FF83B19"/>
    <w:rsid w:val="0FFC13BA"/>
    <w:rsid w:val="1008015E"/>
    <w:rsid w:val="100A54CD"/>
    <w:rsid w:val="101045D2"/>
    <w:rsid w:val="10114AE9"/>
    <w:rsid w:val="101622DD"/>
    <w:rsid w:val="101C486F"/>
    <w:rsid w:val="102106FD"/>
    <w:rsid w:val="10363008"/>
    <w:rsid w:val="10423A2C"/>
    <w:rsid w:val="104B6955"/>
    <w:rsid w:val="104C4672"/>
    <w:rsid w:val="104D4ABE"/>
    <w:rsid w:val="1051241F"/>
    <w:rsid w:val="10557030"/>
    <w:rsid w:val="105E1CA5"/>
    <w:rsid w:val="105F4BFD"/>
    <w:rsid w:val="105F728A"/>
    <w:rsid w:val="1060140F"/>
    <w:rsid w:val="10616702"/>
    <w:rsid w:val="10623BBE"/>
    <w:rsid w:val="106400E4"/>
    <w:rsid w:val="10661127"/>
    <w:rsid w:val="10666989"/>
    <w:rsid w:val="10676684"/>
    <w:rsid w:val="107212ED"/>
    <w:rsid w:val="10766F7E"/>
    <w:rsid w:val="107A5B21"/>
    <w:rsid w:val="107E2696"/>
    <w:rsid w:val="1080523B"/>
    <w:rsid w:val="10821B4E"/>
    <w:rsid w:val="108907D1"/>
    <w:rsid w:val="108C74B5"/>
    <w:rsid w:val="10941A27"/>
    <w:rsid w:val="1094447A"/>
    <w:rsid w:val="10A53388"/>
    <w:rsid w:val="10A54FBC"/>
    <w:rsid w:val="10A66374"/>
    <w:rsid w:val="10AB2B0E"/>
    <w:rsid w:val="10AB5D6F"/>
    <w:rsid w:val="10B11AC7"/>
    <w:rsid w:val="10B12352"/>
    <w:rsid w:val="10B57F33"/>
    <w:rsid w:val="10B8393C"/>
    <w:rsid w:val="10B930E4"/>
    <w:rsid w:val="10B97020"/>
    <w:rsid w:val="10C650A8"/>
    <w:rsid w:val="10C866CB"/>
    <w:rsid w:val="10CC5275"/>
    <w:rsid w:val="10D020F4"/>
    <w:rsid w:val="10D049BA"/>
    <w:rsid w:val="10D17641"/>
    <w:rsid w:val="10D87727"/>
    <w:rsid w:val="10DD40E0"/>
    <w:rsid w:val="10EB1D8D"/>
    <w:rsid w:val="10ED1064"/>
    <w:rsid w:val="10ED403D"/>
    <w:rsid w:val="10F50222"/>
    <w:rsid w:val="10F63A48"/>
    <w:rsid w:val="11000292"/>
    <w:rsid w:val="11016359"/>
    <w:rsid w:val="11064E54"/>
    <w:rsid w:val="11071514"/>
    <w:rsid w:val="11087471"/>
    <w:rsid w:val="110B5DFC"/>
    <w:rsid w:val="11106A14"/>
    <w:rsid w:val="1112731D"/>
    <w:rsid w:val="11146BDB"/>
    <w:rsid w:val="11174258"/>
    <w:rsid w:val="11181BF1"/>
    <w:rsid w:val="111920C8"/>
    <w:rsid w:val="111A7885"/>
    <w:rsid w:val="111E71D1"/>
    <w:rsid w:val="1123068D"/>
    <w:rsid w:val="1125771D"/>
    <w:rsid w:val="112632F2"/>
    <w:rsid w:val="112B50D1"/>
    <w:rsid w:val="112B78DE"/>
    <w:rsid w:val="11340196"/>
    <w:rsid w:val="11423F21"/>
    <w:rsid w:val="11426276"/>
    <w:rsid w:val="114573D1"/>
    <w:rsid w:val="114D3578"/>
    <w:rsid w:val="115A18F2"/>
    <w:rsid w:val="115C5AF8"/>
    <w:rsid w:val="115D0286"/>
    <w:rsid w:val="115E1EE9"/>
    <w:rsid w:val="11621EF1"/>
    <w:rsid w:val="1162518B"/>
    <w:rsid w:val="116C212C"/>
    <w:rsid w:val="116C4858"/>
    <w:rsid w:val="116F7E43"/>
    <w:rsid w:val="11726AB6"/>
    <w:rsid w:val="117276D7"/>
    <w:rsid w:val="11790362"/>
    <w:rsid w:val="11830969"/>
    <w:rsid w:val="11873D6B"/>
    <w:rsid w:val="11884EB4"/>
    <w:rsid w:val="118A2C48"/>
    <w:rsid w:val="118F19ED"/>
    <w:rsid w:val="1195415E"/>
    <w:rsid w:val="11954E7B"/>
    <w:rsid w:val="119B630F"/>
    <w:rsid w:val="11B01E51"/>
    <w:rsid w:val="11B1653C"/>
    <w:rsid w:val="11B41F48"/>
    <w:rsid w:val="11BD39DC"/>
    <w:rsid w:val="11C026F5"/>
    <w:rsid w:val="11C226E7"/>
    <w:rsid w:val="11C84D70"/>
    <w:rsid w:val="11C9514A"/>
    <w:rsid w:val="11CC4131"/>
    <w:rsid w:val="11CC495F"/>
    <w:rsid w:val="11CD34AB"/>
    <w:rsid w:val="11D21BA7"/>
    <w:rsid w:val="11D66C72"/>
    <w:rsid w:val="11D702EE"/>
    <w:rsid w:val="11D8368C"/>
    <w:rsid w:val="11E71094"/>
    <w:rsid w:val="11EB1F0A"/>
    <w:rsid w:val="11ED5CDC"/>
    <w:rsid w:val="11F10144"/>
    <w:rsid w:val="11F51A53"/>
    <w:rsid w:val="11F61749"/>
    <w:rsid w:val="11FA769F"/>
    <w:rsid w:val="11FD504B"/>
    <w:rsid w:val="12060B2C"/>
    <w:rsid w:val="12065243"/>
    <w:rsid w:val="12124D36"/>
    <w:rsid w:val="12186EDE"/>
    <w:rsid w:val="121A65C9"/>
    <w:rsid w:val="121B4880"/>
    <w:rsid w:val="121F0854"/>
    <w:rsid w:val="121F7BC4"/>
    <w:rsid w:val="122265A1"/>
    <w:rsid w:val="12260C20"/>
    <w:rsid w:val="1228796E"/>
    <w:rsid w:val="122A3E28"/>
    <w:rsid w:val="122A62FD"/>
    <w:rsid w:val="122B6631"/>
    <w:rsid w:val="12321AB7"/>
    <w:rsid w:val="1234585B"/>
    <w:rsid w:val="123B11E3"/>
    <w:rsid w:val="124654FF"/>
    <w:rsid w:val="1247430E"/>
    <w:rsid w:val="124C2502"/>
    <w:rsid w:val="125166F4"/>
    <w:rsid w:val="125B1C8E"/>
    <w:rsid w:val="125F4FB0"/>
    <w:rsid w:val="12602C7B"/>
    <w:rsid w:val="12603619"/>
    <w:rsid w:val="1262194E"/>
    <w:rsid w:val="12666B82"/>
    <w:rsid w:val="12677F79"/>
    <w:rsid w:val="12697C61"/>
    <w:rsid w:val="126F0555"/>
    <w:rsid w:val="12727F05"/>
    <w:rsid w:val="127539A8"/>
    <w:rsid w:val="127A3E3B"/>
    <w:rsid w:val="127A67E2"/>
    <w:rsid w:val="127C645E"/>
    <w:rsid w:val="1288143F"/>
    <w:rsid w:val="12891DCF"/>
    <w:rsid w:val="128C7A5A"/>
    <w:rsid w:val="128D5D1C"/>
    <w:rsid w:val="128E63C4"/>
    <w:rsid w:val="129066E8"/>
    <w:rsid w:val="12996DA7"/>
    <w:rsid w:val="129E79B7"/>
    <w:rsid w:val="12A02F0C"/>
    <w:rsid w:val="12A74FDF"/>
    <w:rsid w:val="12A844DB"/>
    <w:rsid w:val="12B07E0D"/>
    <w:rsid w:val="12C22481"/>
    <w:rsid w:val="12C51745"/>
    <w:rsid w:val="12C633C1"/>
    <w:rsid w:val="12CC69EF"/>
    <w:rsid w:val="12D76B90"/>
    <w:rsid w:val="12D90673"/>
    <w:rsid w:val="12E157C2"/>
    <w:rsid w:val="12E51D90"/>
    <w:rsid w:val="12E53EF1"/>
    <w:rsid w:val="12EC1546"/>
    <w:rsid w:val="12EF44F5"/>
    <w:rsid w:val="12F0729D"/>
    <w:rsid w:val="12F11244"/>
    <w:rsid w:val="12F47818"/>
    <w:rsid w:val="12F8632C"/>
    <w:rsid w:val="12F86D43"/>
    <w:rsid w:val="12F9499D"/>
    <w:rsid w:val="12F96B1E"/>
    <w:rsid w:val="12FD025E"/>
    <w:rsid w:val="12FD125B"/>
    <w:rsid w:val="12FF2A45"/>
    <w:rsid w:val="130B6BF0"/>
    <w:rsid w:val="130E28DE"/>
    <w:rsid w:val="130E524E"/>
    <w:rsid w:val="130F35FB"/>
    <w:rsid w:val="13143E6C"/>
    <w:rsid w:val="131529AB"/>
    <w:rsid w:val="1317039D"/>
    <w:rsid w:val="131B54D4"/>
    <w:rsid w:val="1320304A"/>
    <w:rsid w:val="13226488"/>
    <w:rsid w:val="13231EAD"/>
    <w:rsid w:val="13287942"/>
    <w:rsid w:val="13293B7F"/>
    <w:rsid w:val="13343C71"/>
    <w:rsid w:val="133A0208"/>
    <w:rsid w:val="133B230F"/>
    <w:rsid w:val="1343718F"/>
    <w:rsid w:val="13483D26"/>
    <w:rsid w:val="134976F1"/>
    <w:rsid w:val="134A3973"/>
    <w:rsid w:val="13531337"/>
    <w:rsid w:val="13565FAB"/>
    <w:rsid w:val="13592DD1"/>
    <w:rsid w:val="135C7AD0"/>
    <w:rsid w:val="13651F5F"/>
    <w:rsid w:val="13696D2E"/>
    <w:rsid w:val="136A759A"/>
    <w:rsid w:val="136B456B"/>
    <w:rsid w:val="136C586C"/>
    <w:rsid w:val="136F0B10"/>
    <w:rsid w:val="1370705A"/>
    <w:rsid w:val="137311CD"/>
    <w:rsid w:val="13740AA6"/>
    <w:rsid w:val="137734A7"/>
    <w:rsid w:val="137A6AC8"/>
    <w:rsid w:val="137D285D"/>
    <w:rsid w:val="13801A7F"/>
    <w:rsid w:val="138567DB"/>
    <w:rsid w:val="138703B1"/>
    <w:rsid w:val="13871C5C"/>
    <w:rsid w:val="138D0BB1"/>
    <w:rsid w:val="1390222A"/>
    <w:rsid w:val="139A5541"/>
    <w:rsid w:val="139F4D2C"/>
    <w:rsid w:val="13A061CD"/>
    <w:rsid w:val="13A2637F"/>
    <w:rsid w:val="13A8199D"/>
    <w:rsid w:val="13AA30B1"/>
    <w:rsid w:val="13AC5990"/>
    <w:rsid w:val="13AD7CD0"/>
    <w:rsid w:val="13B63A87"/>
    <w:rsid w:val="13B775A3"/>
    <w:rsid w:val="13C56D03"/>
    <w:rsid w:val="13C71743"/>
    <w:rsid w:val="13D30E09"/>
    <w:rsid w:val="13D32AD3"/>
    <w:rsid w:val="13D37816"/>
    <w:rsid w:val="13E47BEF"/>
    <w:rsid w:val="13E57390"/>
    <w:rsid w:val="13E911F8"/>
    <w:rsid w:val="13F34208"/>
    <w:rsid w:val="13F555E2"/>
    <w:rsid w:val="13F557A7"/>
    <w:rsid w:val="13F86529"/>
    <w:rsid w:val="13F92580"/>
    <w:rsid w:val="14026FB0"/>
    <w:rsid w:val="1404253F"/>
    <w:rsid w:val="140D666B"/>
    <w:rsid w:val="140E252C"/>
    <w:rsid w:val="141342F5"/>
    <w:rsid w:val="14184AD6"/>
    <w:rsid w:val="141B26D9"/>
    <w:rsid w:val="1424576C"/>
    <w:rsid w:val="142A66A6"/>
    <w:rsid w:val="142D1C63"/>
    <w:rsid w:val="1436311A"/>
    <w:rsid w:val="14393B42"/>
    <w:rsid w:val="143D0EEE"/>
    <w:rsid w:val="145675AC"/>
    <w:rsid w:val="145B36D3"/>
    <w:rsid w:val="146810CC"/>
    <w:rsid w:val="146A2497"/>
    <w:rsid w:val="146B2322"/>
    <w:rsid w:val="14700977"/>
    <w:rsid w:val="14703595"/>
    <w:rsid w:val="147226BD"/>
    <w:rsid w:val="14754A59"/>
    <w:rsid w:val="14785958"/>
    <w:rsid w:val="147A6A01"/>
    <w:rsid w:val="147C23F0"/>
    <w:rsid w:val="147C734D"/>
    <w:rsid w:val="14865E7A"/>
    <w:rsid w:val="148B350E"/>
    <w:rsid w:val="148D0A3F"/>
    <w:rsid w:val="14922CC0"/>
    <w:rsid w:val="14975F8C"/>
    <w:rsid w:val="14985798"/>
    <w:rsid w:val="149A7FFA"/>
    <w:rsid w:val="149C3E7D"/>
    <w:rsid w:val="149D56A2"/>
    <w:rsid w:val="14A44EA3"/>
    <w:rsid w:val="14A73E2B"/>
    <w:rsid w:val="14A90766"/>
    <w:rsid w:val="14AA126B"/>
    <w:rsid w:val="14AD7CE2"/>
    <w:rsid w:val="14AE3DCC"/>
    <w:rsid w:val="14AF5F42"/>
    <w:rsid w:val="14B93ABC"/>
    <w:rsid w:val="14BE6BE1"/>
    <w:rsid w:val="14C51412"/>
    <w:rsid w:val="14C604D0"/>
    <w:rsid w:val="14C75FC8"/>
    <w:rsid w:val="14CE7276"/>
    <w:rsid w:val="14CF3A2B"/>
    <w:rsid w:val="14D42463"/>
    <w:rsid w:val="14D74E72"/>
    <w:rsid w:val="14DC0EA8"/>
    <w:rsid w:val="14DC5CB8"/>
    <w:rsid w:val="14E278B6"/>
    <w:rsid w:val="14E42A4D"/>
    <w:rsid w:val="14E90B6A"/>
    <w:rsid w:val="14F36D24"/>
    <w:rsid w:val="14F45AD0"/>
    <w:rsid w:val="14F472D1"/>
    <w:rsid w:val="14F63D15"/>
    <w:rsid w:val="14FD0798"/>
    <w:rsid w:val="14FD6D60"/>
    <w:rsid w:val="1509674A"/>
    <w:rsid w:val="150A574B"/>
    <w:rsid w:val="150B6BC4"/>
    <w:rsid w:val="150D448B"/>
    <w:rsid w:val="1511634E"/>
    <w:rsid w:val="15146712"/>
    <w:rsid w:val="15280904"/>
    <w:rsid w:val="15292A14"/>
    <w:rsid w:val="152C7FAC"/>
    <w:rsid w:val="15366410"/>
    <w:rsid w:val="15374CE8"/>
    <w:rsid w:val="153C159F"/>
    <w:rsid w:val="153D5D86"/>
    <w:rsid w:val="15402EB2"/>
    <w:rsid w:val="154C50CD"/>
    <w:rsid w:val="154E17AE"/>
    <w:rsid w:val="155062F3"/>
    <w:rsid w:val="1559641A"/>
    <w:rsid w:val="155B4FAE"/>
    <w:rsid w:val="156008E2"/>
    <w:rsid w:val="1564778D"/>
    <w:rsid w:val="156912FF"/>
    <w:rsid w:val="156B0DC6"/>
    <w:rsid w:val="156D07F1"/>
    <w:rsid w:val="157542C1"/>
    <w:rsid w:val="15770805"/>
    <w:rsid w:val="157C40D0"/>
    <w:rsid w:val="1582588B"/>
    <w:rsid w:val="15847334"/>
    <w:rsid w:val="15892363"/>
    <w:rsid w:val="159336E6"/>
    <w:rsid w:val="15966282"/>
    <w:rsid w:val="159A4408"/>
    <w:rsid w:val="159C2A5C"/>
    <w:rsid w:val="15A04F73"/>
    <w:rsid w:val="15A36912"/>
    <w:rsid w:val="15B01716"/>
    <w:rsid w:val="15B3416F"/>
    <w:rsid w:val="15B365DE"/>
    <w:rsid w:val="15B4597E"/>
    <w:rsid w:val="15BA4B01"/>
    <w:rsid w:val="15C47484"/>
    <w:rsid w:val="15C645D4"/>
    <w:rsid w:val="15C91622"/>
    <w:rsid w:val="15CB4CD0"/>
    <w:rsid w:val="15CC091C"/>
    <w:rsid w:val="15D63654"/>
    <w:rsid w:val="15DA2BDC"/>
    <w:rsid w:val="15E7107D"/>
    <w:rsid w:val="15EF0209"/>
    <w:rsid w:val="15F279C1"/>
    <w:rsid w:val="15F32CEB"/>
    <w:rsid w:val="15F771A7"/>
    <w:rsid w:val="15FA3CF5"/>
    <w:rsid w:val="15FB42DC"/>
    <w:rsid w:val="15FB7AF2"/>
    <w:rsid w:val="160672C3"/>
    <w:rsid w:val="160A3860"/>
    <w:rsid w:val="160A4829"/>
    <w:rsid w:val="160D628A"/>
    <w:rsid w:val="160E28D8"/>
    <w:rsid w:val="160F1ABE"/>
    <w:rsid w:val="161957DE"/>
    <w:rsid w:val="161C33AF"/>
    <w:rsid w:val="162711DD"/>
    <w:rsid w:val="16276492"/>
    <w:rsid w:val="16281A0D"/>
    <w:rsid w:val="162937F6"/>
    <w:rsid w:val="162F7B07"/>
    <w:rsid w:val="16326E4C"/>
    <w:rsid w:val="1635152C"/>
    <w:rsid w:val="16387A18"/>
    <w:rsid w:val="16412B5D"/>
    <w:rsid w:val="16487C71"/>
    <w:rsid w:val="164C22AB"/>
    <w:rsid w:val="16503C5B"/>
    <w:rsid w:val="165608C2"/>
    <w:rsid w:val="165862FD"/>
    <w:rsid w:val="16615D53"/>
    <w:rsid w:val="1664012B"/>
    <w:rsid w:val="16644310"/>
    <w:rsid w:val="166750F0"/>
    <w:rsid w:val="16680284"/>
    <w:rsid w:val="16691E19"/>
    <w:rsid w:val="166A502C"/>
    <w:rsid w:val="166F1D3A"/>
    <w:rsid w:val="16740ED4"/>
    <w:rsid w:val="167B1495"/>
    <w:rsid w:val="16810591"/>
    <w:rsid w:val="16883176"/>
    <w:rsid w:val="169E4B21"/>
    <w:rsid w:val="16A002F6"/>
    <w:rsid w:val="16A03841"/>
    <w:rsid w:val="16AF17B5"/>
    <w:rsid w:val="16AF7739"/>
    <w:rsid w:val="16B124F9"/>
    <w:rsid w:val="16B73BDF"/>
    <w:rsid w:val="16B810F7"/>
    <w:rsid w:val="16B94023"/>
    <w:rsid w:val="16BB55D8"/>
    <w:rsid w:val="16BC2945"/>
    <w:rsid w:val="16BE53B6"/>
    <w:rsid w:val="16C77985"/>
    <w:rsid w:val="16CD10B1"/>
    <w:rsid w:val="16CD670A"/>
    <w:rsid w:val="16D32403"/>
    <w:rsid w:val="16E26E3A"/>
    <w:rsid w:val="16E7799F"/>
    <w:rsid w:val="16E90F4D"/>
    <w:rsid w:val="16ED0047"/>
    <w:rsid w:val="16EF582F"/>
    <w:rsid w:val="16EF5921"/>
    <w:rsid w:val="16F220FC"/>
    <w:rsid w:val="16F34935"/>
    <w:rsid w:val="16F4413E"/>
    <w:rsid w:val="16F62E66"/>
    <w:rsid w:val="16F72B16"/>
    <w:rsid w:val="16F968EE"/>
    <w:rsid w:val="16FA5F38"/>
    <w:rsid w:val="16FE24DA"/>
    <w:rsid w:val="170075AD"/>
    <w:rsid w:val="17024736"/>
    <w:rsid w:val="1702776A"/>
    <w:rsid w:val="170350E0"/>
    <w:rsid w:val="17036E62"/>
    <w:rsid w:val="1706042B"/>
    <w:rsid w:val="170F0018"/>
    <w:rsid w:val="17136C2E"/>
    <w:rsid w:val="17156598"/>
    <w:rsid w:val="17182968"/>
    <w:rsid w:val="171A6746"/>
    <w:rsid w:val="171A78D8"/>
    <w:rsid w:val="171B4BFE"/>
    <w:rsid w:val="171C36E7"/>
    <w:rsid w:val="171D7969"/>
    <w:rsid w:val="17212002"/>
    <w:rsid w:val="172766E8"/>
    <w:rsid w:val="172A7E5F"/>
    <w:rsid w:val="172B7460"/>
    <w:rsid w:val="173741BA"/>
    <w:rsid w:val="173850EA"/>
    <w:rsid w:val="173F2FFA"/>
    <w:rsid w:val="1742439F"/>
    <w:rsid w:val="17475B96"/>
    <w:rsid w:val="1748706E"/>
    <w:rsid w:val="175111BE"/>
    <w:rsid w:val="17514F11"/>
    <w:rsid w:val="17563BB6"/>
    <w:rsid w:val="17583D24"/>
    <w:rsid w:val="175A4A6B"/>
    <w:rsid w:val="17701599"/>
    <w:rsid w:val="177323C9"/>
    <w:rsid w:val="1773532D"/>
    <w:rsid w:val="17743252"/>
    <w:rsid w:val="177D18E4"/>
    <w:rsid w:val="17802FB3"/>
    <w:rsid w:val="178B1D2B"/>
    <w:rsid w:val="178D1736"/>
    <w:rsid w:val="178F515A"/>
    <w:rsid w:val="17916CB3"/>
    <w:rsid w:val="17924F23"/>
    <w:rsid w:val="17945B2A"/>
    <w:rsid w:val="17955760"/>
    <w:rsid w:val="179C4E8D"/>
    <w:rsid w:val="17A00BC8"/>
    <w:rsid w:val="17A444B6"/>
    <w:rsid w:val="17A60E93"/>
    <w:rsid w:val="17A64C52"/>
    <w:rsid w:val="17A920E5"/>
    <w:rsid w:val="17AA1734"/>
    <w:rsid w:val="17AC7E33"/>
    <w:rsid w:val="17B57F0C"/>
    <w:rsid w:val="17BD5A9D"/>
    <w:rsid w:val="17BD6169"/>
    <w:rsid w:val="17BE6395"/>
    <w:rsid w:val="17C11D03"/>
    <w:rsid w:val="17C32D09"/>
    <w:rsid w:val="17C4586A"/>
    <w:rsid w:val="17C605D4"/>
    <w:rsid w:val="17CB11D2"/>
    <w:rsid w:val="17CB6313"/>
    <w:rsid w:val="17CF16F8"/>
    <w:rsid w:val="17D93E3C"/>
    <w:rsid w:val="17DA4462"/>
    <w:rsid w:val="17DC3F78"/>
    <w:rsid w:val="17E052F4"/>
    <w:rsid w:val="17E44BC3"/>
    <w:rsid w:val="17E62BD7"/>
    <w:rsid w:val="17EB2736"/>
    <w:rsid w:val="17ED7DED"/>
    <w:rsid w:val="17F974D3"/>
    <w:rsid w:val="17FD663A"/>
    <w:rsid w:val="17FF480A"/>
    <w:rsid w:val="18015E78"/>
    <w:rsid w:val="18026CFD"/>
    <w:rsid w:val="180475DE"/>
    <w:rsid w:val="18074C81"/>
    <w:rsid w:val="1810646A"/>
    <w:rsid w:val="18113763"/>
    <w:rsid w:val="18115B9F"/>
    <w:rsid w:val="18152C01"/>
    <w:rsid w:val="181D33FB"/>
    <w:rsid w:val="18273AB4"/>
    <w:rsid w:val="182F4032"/>
    <w:rsid w:val="1830555B"/>
    <w:rsid w:val="18340E78"/>
    <w:rsid w:val="1835184B"/>
    <w:rsid w:val="183A2197"/>
    <w:rsid w:val="183C2980"/>
    <w:rsid w:val="183F0812"/>
    <w:rsid w:val="183F531A"/>
    <w:rsid w:val="18414B7B"/>
    <w:rsid w:val="1846370C"/>
    <w:rsid w:val="18465486"/>
    <w:rsid w:val="18474CE4"/>
    <w:rsid w:val="184C5B68"/>
    <w:rsid w:val="184C68D0"/>
    <w:rsid w:val="18516E09"/>
    <w:rsid w:val="18527557"/>
    <w:rsid w:val="18555A7E"/>
    <w:rsid w:val="185568E2"/>
    <w:rsid w:val="18586B08"/>
    <w:rsid w:val="18654AE1"/>
    <w:rsid w:val="186768B2"/>
    <w:rsid w:val="18702230"/>
    <w:rsid w:val="18726759"/>
    <w:rsid w:val="187427A5"/>
    <w:rsid w:val="18752745"/>
    <w:rsid w:val="187A24D1"/>
    <w:rsid w:val="187F4433"/>
    <w:rsid w:val="18967537"/>
    <w:rsid w:val="189675FA"/>
    <w:rsid w:val="18977044"/>
    <w:rsid w:val="189B5656"/>
    <w:rsid w:val="189D0A94"/>
    <w:rsid w:val="189D17C9"/>
    <w:rsid w:val="18A26EA5"/>
    <w:rsid w:val="18A3348B"/>
    <w:rsid w:val="18A5106A"/>
    <w:rsid w:val="18AA3B27"/>
    <w:rsid w:val="18AF47F5"/>
    <w:rsid w:val="18B37580"/>
    <w:rsid w:val="18BE70DD"/>
    <w:rsid w:val="18C044F5"/>
    <w:rsid w:val="18C211CD"/>
    <w:rsid w:val="18C503D1"/>
    <w:rsid w:val="18CC3918"/>
    <w:rsid w:val="18CD7B6F"/>
    <w:rsid w:val="18D224E8"/>
    <w:rsid w:val="18D71D17"/>
    <w:rsid w:val="18D90C5E"/>
    <w:rsid w:val="18D926D8"/>
    <w:rsid w:val="18DC7C1B"/>
    <w:rsid w:val="18E946C3"/>
    <w:rsid w:val="18F20AE3"/>
    <w:rsid w:val="18F949B5"/>
    <w:rsid w:val="18FB57B0"/>
    <w:rsid w:val="190226A2"/>
    <w:rsid w:val="1903409C"/>
    <w:rsid w:val="190957BC"/>
    <w:rsid w:val="190D3B6A"/>
    <w:rsid w:val="19132685"/>
    <w:rsid w:val="19140F05"/>
    <w:rsid w:val="19154AFE"/>
    <w:rsid w:val="191D02D8"/>
    <w:rsid w:val="19205532"/>
    <w:rsid w:val="19232638"/>
    <w:rsid w:val="19232E7E"/>
    <w:rsid w:val="19286BB6"/>
    <w:rsid w:val="192A2C27"/>
    <w:rsid w:val="19370C54"/>
    <w:rsid w:val="193A00B3"/>
    <w:rsid w:val="193B5435"/>
    <w:rsid w:val="19482A23"/>
    <w:rsid w:val="19486D62"/>
    <w:rsid w:val="195B769A"/>
    <w:rsid w:val="195F720A"/>
    <w:rsid w:val="196B5436"/>
    <w:rsid w:val="19714452"/>
    <w:rsid w:val="19781582"/>
    <w:rsid w:val="197A5750"/>
    <w:rsid w:val="19853A88"/>
    <w:rsid w:val="19894A24"/>
    <w:rsid w:val="198F5668"/>
    <w:rsid w:val="19917E22"/>
    <w:rsid w:val="199A3559"/>
    <w:rsid w:val="199C04DC"/>
    <w:rsid w:val="19AB088E"/>
    <w:rsid w:val="19B0127A"/>
    <w:rsid w:val="19B15896"/>
    <w:rsid w:val="19B704D4"/>
    <w:rsid w:val="19B95F45"/>
    <w:rsid w:val="19BC40D2"/>
    <w:rsid w:val="19BD3F75"/>
    <w:rsid w:val="19BE2F6B"/>
    <w:rsid w:val="19BE6798"/>
    <w:rsid w:val="19BF78D7"/>
    <w:rsid w:val="19C736F9"/>
    <w:rsid w:val="19C77ED3"/>
    <w:rsid w:val="19CF1E58"/>
    <w:rsid w:val="19CF7724"/>
    <w:rsid w:val="19D73529"/>
    <w:rsid w:val="19D81AFD"/>
    <w:rsid w:val="19D82D31"/>
    <w:rsid w:val="19D85CDB"/>
    <w:rsid w:val="19D9123F"/>
    <w:rsid w:val="19E42EA4"/>
    <w:rsid w:val="19E47F08"/>
    <w:rsid w:val="19EB4A8A"/>
    <w:rsid w:val="19ED5FF8"/>
    <w:rsid w:val="19EF257C"/>
    <w:rsid w:val="19EF4D0B"/>
    <w:rsid w:val="19F43746"/>
    <w:rsid w:val="19F51C87"/>
    <w:rsid w:val="19F607E2"/>
    <w:rsid w:val="19F628EE"/>
    <w:rsid w:val="19F7317F"/>
    <w:rsid w:val="19FD5F15"/>
    <w:rsid w:val="1A060F4D"/>
    <w:rsid w:val="1A1068AD"/>
    <w:rsid w:val="1A1935E2"/>
    <w:rsid w:val="1A226246"/>
    <w:rsid w:val="1A2931A0"/>
    <w:rsid w:val="1A2A2E2A"/>
    <w:rsid w:val="1A2F2CC0"/>
    <w:rsid w:val="1A310D11"/>
    <w:rsid w:val="1A315B05"/>
    <w:rsid w:val="1A340CC1"/>
    <w:rsid w:val="1A3515DC"/>
    <w:rsid w:val="1A365C68"/>
    <w:rsid w:val="1A3C0F10"/>
    <w:rsid w:val="1A3E5A00"/>
    <w:rsid w:val="1A3F0906"/>
    <w:rsid w:val="1A411AAE"/>
    <w:rsid w:val="1A4775E8"/>
    <w:rsid w:val="1A482733"/>
    <w:rsid w:val="1A4C0545"/>
    <w:rsid w:val="1A5016BF"/>
    <w:rsid w:val="1A535E36"/>
    <w:rsid w:val="1A582A4E"/>
    <w:rsid w:val="1A5C5ED3"/>
    <w:rsid w:val="1A621503"/>
    <w:rsid w:val="1A640373"/>
    <w:rsid w:val="1A642B1C"/>
    <w:rsid w:val="1A67688F"/>
    <w:rsid w:val="1A73183A"/>
    <w:rsid w:val="1A7564C9"/>
    <w:rsid w:val="1A811036"/>
    <w:rsid w:val="1A930414"/>
    <w:rsid w:val="1A961166"/>
    <w:rsid w:val="1A97406C"/>
    <w:rsid w:val="1A993B0E"/>
    <w:rsid w:val="1AA1067E"/>
    <w:rsid w:val="1AA1681F"/>
    <w:rsid w:val="1AA601A7"/>
    <w:rsid w:val="1AAC303D"/>
    <w:rsid w:val="1AAD6A43"/>
    <w:rsid w:val="1AB17C80"/>
    <w:rsid w:val="1AB75F27"/>
    <w:rsid w:val="1ABC5FC5"/>
    <w:rsid w:val="1AC8084C"/>
    <w:rsid w:val="1AC80DB3"/>
    <w:rsid w:val="1AD03F3F"/>
    <w:rsid w:val="1AD344F4"/>
    <w:rsid w:val="1AE151A0"/>
    <w:rsid w:val="1AE202CD"/>
    <w:rsid w:val="1AEB357F"/>
    <w:rsid w:val="1AEC048A"/>
    <w:rsid w:val="1AF762EF"/>
    <w:rsid w:val="1B011A4F"/>
    <w:rsid w:val="1B0B09CD"/>
    <w:rsid w:val="1B0C74FA"/>
    <w:rsid w:val="1B1450DC"/>
    <w:rsid w:val="1B233C76"/>
    <w:rsid w:val="1B2376BB"/>
    <w:rsid w:val="1B297D16"/>
    <w:rsid w:val="1B2E572C"/>
    <w:rsid w:val="1B3122A7"/>
    <w:rsid w:val="1B31570B"/>
    <w:rsid w:val="1B3A7189"/>
    <w:rsid w:val="1B3B090E"/>
    <w:rsid w:val="1B3B2EA6"/>
    <w:rsid w:val="1B3E2B1F"/>
    <w:rsid w:val="1B432B96"/>
    <w:rsid w:val="1B4404FD"/>
    <w:rsid w:val="1B4938F1"/>
    <w:rsid w:val="1B566C88"/>
    <w:rsid w:val="1B5A2627"/>
    <w:rsid w:val="1B6245AA"/>
    <w:rsid w:val="1B635B87"/>
    <w:rsid w:val="1B645CCC"/>
    <w:rsid w:val="1B657ACC"/>
    <w:rsid w:val="1B683DB9"/>
    <w:rsid w:val="1B68602E"/>
    <w:rsid w:val="1B687984"/>
    <w:rsid w:val="1B6B3E35"/>
    <w:rsid w:val="1B726424"/>
    <w:rsid w:val="1B773CBC"/>
    <w:rsid w:val="1B774E31"/>
    <w:rsid w:val="1B7C234C"/>
    <w:rsid w:val="1B7F7B10"/>
    <w:rsid w:val="1B83609A"/>
    <w:rsid w:val="1B88388B"/>
    <w:rsid w:val="1B8A2E95"/>
    <w:rsid w:val="1B8B3412"/>
    <w:rsid w:val="1B925DBA"/>
    <w:rsid w:val="1B991A21"/>
    <w:rsid w:val="1B9C5348"/>
    <w:rsid w:val="1B9F3000"/>
    <w:rsid w:val="1BA06ED1"/>
    <w:rsid w:val="1BA35598"/>
    <w:rsid w:val="1BA524AD"/>
    <w:rsid w:val="1BA56A42"/>
    <w:rsid w:val="1BA71F5B"/>
    <w:rsid w:val="1BAA0BF7"/>
    <w:rsid w:val="1BAC1570"/>
    <w:rsid w:val="1BB1257E"/>
    <w:rsid w:val="1BBA5DA0"/>
    <w:rsid w:val="1BBF5F9B"/>
    <w:rsid w:val="1BC01C2B"/>
    <w:rsid w:val="1BC03A55"/>
    <w:rsid w:val="1BC6744F"/>
    <w:rsid w:val="1BC92CA6"/>
    <w:rsid w:val="1BC962D7"/>
    <w:rsid w:val="1BD36B16"/>
    <w:rsid w:val="1BD83E7D"/>
    <w:rsid w:val="1BDE797C"/>
    <w:rsid w:val="1BE17AA2"/>
    <w:rsid w:val="1BE34910"/>
    <w:rsid w:val="1BE37CDF"/>
    <w:rsid w:val="1BEF42EC"/>
    <w:rsid w:val="1BF552FF"/>
    <w:rsid w:val="1BF95A7A"/>
    <w:rsid w:val="1BF96D43"/>
    <w:rsid w:val="1BFA1512"/>
    <w:rsid w:val="1C020F9A"/>
    <w:rsid w:val="1C047B03"/>
    <w:rsid w:val="1C055793"/>
    <w:rsid w:val="1C074185"/>
    <w:rsid w:val="1C081C0A"/>
    <w:rsid w:val="1C0B76C2"/>
    <w:rsid w:val="1C0E2BFF"/>
    <w:rsid w:val="1C0F35B0"/>
    <w:rsid w:val="1C1C33A8"/>
    <w:rsid w:val="1C2111EF"/>
    <w:rsid w:val="1C25109B"/>
    <w:rsid w:val="1C326DFD"/>
    <w:rsid w:val="1C34724E"/>
    <w:rsid w:val="1C3E748D"/>
    <w:rsid w:val="1C424E4F"/>
    <w:rsid w:val="1C437CEC"/>
    <w:rsid w:val="1C4447B6"/>
    <w:rsid w:val="1C474C0E"/>
    <w:rsid w:val="1C5103C3"/>
    <w:rsid w:val="1C566DAD"/>
    <w:rsid w:val="1C571012"/>
    <w:rsid w:val="1C667658"/>
    <w:rsid w:val="1C672FB7"/>
    <w:rsid w:val="1C68198B"/>
    <w:rsid w:val="1C681F9F"/>
    <w:rsid w:val="1C6C6078"/>
    <w:rsid w:val="1C6E7D87"/>
    <w:rsid w:val="1C6F3276"/>
    <w:rsid w:val="1C7A7047"/>
    <w:rsid w:val="1C866A85"/>
    <w:rsid w:val="1C89707E"/>
    <w:rsid w:val="1C8A0DE1"/>
    <w:rsid w:val="1C8E2444"/>
    <w:rsid w:val="1C953159"/>
    <w:rsid w:val="1C9F2608"/>
    <w:rsid w:val="1C9F5AAF"/>
    <w:rsid w:val="1CA1705C"/>
    <w:rsid w:val="1CA6685D"/>
    <w:rsid w:val="1CAB4EFF"/>
    <w:rsid w:val="1CAD70F8"/>
    <w:rsid w:val="1CAE065E"/>
    <w:rsid w:val="1CB53CEE"/>
    <w:rsid w:val="1CB72C87"/>
    <w:rsid w:val="1CB8644C"/>
    <w:rsid w:val="1CBE5F66"/>
    <w:rsid w:val="1CBF143F"/>
    <w:rsid w:val="1CBF27C0"/>
    <w:rsid w:val="1CBF4EED"/>
    <w:rsid w:val="1CC81CC1"/>
    <w:rsid w:val="1CC9298F"/>
    <w:rsid w:val="1CCA42DC"/>
    <w:rsid w:val="1CCD288C"/>
    <w:rsid w:val="1CCE7182"/>
    <w:rsid w:val="1CD173AF"/>
    <w:rsid w:val="1CD34E2A"/>
    <w:rsid w:val="1CD72B29"/>
    <w:rsid w:val="1CE4302E"/>
    <w:rsid w:val="1CE51944"/>
    <w:rsid w:val="1CE542D4"/>
    <w:rsid w:val="1CE545EB"/>
    <w:rsid w:val="1CE62F91"/>
    <w:rsid w:val="1CE9395C"/>
    <w:rsid w:val="1CE94A14"/>
    <w:rsid w:val="1CEA0E8B"/>
    <w:rsid w:val="1CEA2632"/>
    <w:rsid w:val="1CEA70B9"/>
    <w:rsid w:val="1CEB10A3"/>
    <w:rsid w:val="1CEC0461"/>
    <w:rsid w:val="1CEC05E4"/>
    <w:rsid w:val="1CF8331E"/>
    <w:rsid w:val="1CFA6368"/>
    <w:rsid w:val="1CFF08D5"/>
    <w:rsid w:val="1D007A41"/>
    <w:rsid w:val="1D094DFB"/>
    <w:rsid w:val="1D12451F"/>
    <w:rsid w:val="1D156A6F"/>
    <w:rsid w:val="1D1A1829"/>
    <w:rsid w:val="1D1C0280"/>
    <w:rsid w:val="1D1C731D"/>
    <w:rsid w:val="1D1E0C89"/>
    <w:rsid w:val="1D1F174E"/>
    <w:rsid w:val="1D281AE7"/>
    <w:rsid w:val="1D2B5FBC"/>
    <w:rsid w:val="1D2C5060"/>
    <w:rsid w:val="1D2D3866"/>
    <w:rsid w:val="1D341E7F"/>
    <w:rsid w:val="1D354C90"/>
    <w:rsid w:val="1D3A6E51"/>
    <w:rsid w:val="1D3B7433"/>
    <w:rsid w:val="1D3C35B7"/>
    <w:rsid w:val="1D3F5695"/>
    <w:rsid w:val="1D490365"/>
    <w:rsid w:val="1D4C6121"/>
    <w:rsid w:val="1D593BF8"/>
    <w:rsid w:val="1D5D7FB0"/>
    <w:rsid w:val="1D5E2364"/>
    <w:rsid w:val="1D5E351C"/>
    <w:rsid w:val="1D6421AF"/>
    <w:rsid w:val="1D661084"/>
    <w:rsid w:val="1D6836A0"/>
    <w:rsid w:val="1D6B0BBE"/>
    <w:rsid w:val="1D6D22C8"/>
    <w:rsid w:val="1D776A34"/>
    <w:rsid w:val="1D7E4126"/>
    <w:rsid w:val="1D800264"/>
    <w:rsid w:val="1D814355"/>
    <w:rsid w:val="1D820225"/>
    <w:rsid w:val="1D830D5E"/>
    <w:rsid w:val="1D8739F2"/>
    <w:rsid w:val="1D8761FF"/>
    <w:rsid w:val="1D891FF8"/>
    <w:rsid w:val="1D8B42F1"/>
    <w:rsid w:val="1D946F58"/>
    <w:rsid w:val="1D954A97"/>
    <w:rsid w:val="1D96507F"/>
    <w:rsid w:val="1D9830AE"/>
    <w:rsid w:val="1D98363D"/>
    <w:rsid w:val="1D9D102C"/>
    <w:rsid w:val="1D9D7108"/>
    <w:rsid w:val="1DA3227B"/>
    <w:rsid w:val="1DA479CE"/>
    <w:rsid w:val="1DA62E73"/>
    <w:rsid w:val="1DAD51F0"/>
    <w:rsid w:val="1DAF579C"/>
    <w:rsid w:val="1DB11B92"/>
    <w:rsid w:val="1DB447A4"/>
    <w:rsid w:val="1DB67069"/>
    <w:rsid w:val="1DB73AFA"/>
    <w:rsid w:val="1DC060A9"/>
    <w:rsid w:val="1DC2443A"/>
    <w:rsid w:val="1DC25430"/>
    <w:rsid w:val="1DC26419"/>
    <w:rsid w:val="1DC645E5"/>
    <w:rsid w:val="1DC700D3"/>
    <w:rsid w:val="1DCD59E2"/>
    <w:rsid w:val="1DDE3B20"/>
    <w:rsid w:val="1DDE5D09"/>
    <w:rsid w:val="1DE2318A"/>
    <w:rsid w:val="1DEA3544"/>
    <w:rsid w:val="1DEC2537"/>
    <w:rsid w:val="1DEE389F"/>
    <w:rsid w:val="1DF404B6"/>
    <w:rsid w:val="1DF66EA4"/>
    <w:rsid w:val="1DF82CC6"/>
    <w:rsid w:val="1DFC667A"/>
    <w:rsid w:val="1E0F0ED0"/>
    <w:rsid w:val="1E133675"/>
    <w:rsid w:val="1E1441FB"/>
    <w:rsid w:val="1E1F6F74"/>
    <w:rsid w:val="1E215E28"/>
    <w:rsid w:val="1E22060A"/>
    <w:rsid w:val="1E28547D"/>
    <w:rsid w:val="1E2A1ED4"/>
    <w:rsid w:val="1E361F7F"/>
    <w:rsid w:val="1E366722"/>
    <w:rsid w:val="1E366D78"/>
    <w:rsid w:val="1E3923D6"/>
    <w:rsid w:val="1E3D257E"/>
    <w:rsid w:val="1E3E3E4F"/>
    <w:rsid w:val="1E405F62"/>
    <w:rsid w:val="1E407F45"/>
    <w:rsid w:val="1E4A1BD2"/>
    <w:rsid w:val="1E4C62F7"/>
    <w:rsid w:val="1E56105D"/>
    <w:rsid w:val="1E5B45CA"/>
    <w:rsid w:val="1E5F066F"/>
    <w:rsid w:val="1E610A7F"/>
    <w:rsid w:val="1E6206F8"/>
    <w:rsid w:val="1E631F3F"/>
    <w:rsid w:val="1E6B3FB7"/>
    <w:rsid w:val="1E6B75DE"/>
    <w:rsid w:val="1E752846"/>
    <w:rsid w:val="1E79273C"/>
    <w:rsid w:val="1E7C4E97"/>
    <w:rsid w:val="1E7C5009"/>
    <w:rsid w:val="1E815983"/>
    <w:rsid w:val="1E896C4C"/>
    <w:rsid w:val="1E8B0CED"/>
    <w:rsid w:val="1E8E0CCB"/>
    <w:rsid w:val="1E8F327A"/>
    <w:rsid w:val="1EA01905"/>
    <w:rsid w:val="1EA95AA9"/>
    <w:rsid w:val="1EAA7853"/>
    <w:rsid w:val="1EAB6338"/>
    <w:rsid w:val="1EAC0FCB"/>
    <w:rsid w:val="1EAD4C19"/>
    <w:rsid w:val="1EAF5D01"/>
    <w:rsid w:val="1EBC698B"/>
    <w:rsid w:val="1EBF00A9"/>
    <w:rsid w:val="1EC320D1"/>
    <w:rsid w:val="1EC35271"/>
    <w:rsid w:val="1ECA35F7"/>
    <w:rsid w:val="1ECB5FDD"/>
    <w:rsid w:val="1ED56DBC"/>
    <w:rsid w:val="1ED821EF"/>
    <w:rsid w:val="1ED85EE2"/>
    <w:rsid w:val="1EDC2070"/>
    <w:rsid w:val="1EDD2642"/>
    <w:rsid w:val="1EE06EAB"/>
    <w:rsid w:val="1EE915AA"/>
    <w:rsid w:val="1EEB1AE0"/>
    <w:rsid w:val="1EED500D"/>
    <w:rsid w:val="1EF31746"/>
    <w:rsid w:val="1EF61167"/>
    <w:rsid w:val="1F01307D"/>
    <w:rsid w:val="1F0252CB"/>
    <w:rsid w:val="1F0300DE"/>
    <w:rsid w:val="1F056A30"/>
    <w:rsid w:val="1F06296E"/>
    <w:rsid w:val="1F072BB0"/>
    <w:rsid w:val="1F075C71"/>
    <w:rsid w:val="1F0B3333"/>
    <w:rsid w:val="1F134739"/>
    <w:rsid w:val="1F1742D0"/>
    <w:rsid w:val="1F1B5109"/>
    <w:rsid w:val="1F212DCB"/>
    <w:rsid w:val="1F320A31"/>
    <w:rsid w:val="1F3C5B1D"/>
    <w:rsid w:val="1F3F1CD0"/>
    <w:rsid w:val="1F3F57EF"/>
    <w:rsid w:val="1F535D0C"/>
    <w:rsid w:val="1F555D9F"/>
    <w:rsid w:val="1F563707"/>
    <w:rsid w:val="1F583E22"/>
    <w:rsid w:val="1F586D32"/>
    <w:rsid w:val="1F644BCD"/>
    <w:rsid w:val="1F65658A"/>
    <w:rsid w:val="1F711E2B"/>
    <w:rsid w:val="1F714170"/>
    <w:rsid w:val="1F7C5E7F"/>
    <w:rsid w:val="1F864523"/>
    <w:rsid w:val="1F8E78A1"/>
    <w:rsid w:val="1F901AB1"/>
    <w:rsid w:val="1F917AB3"/>
    <w:rsid w:val="1F9D68BD"/>
    <w:rsid w:val="1FAD6914"/>
    <w:rsid w:val="1FB41422"/>
    <w:rsid w:val="1FB6123F"/>
    <w:rsid w:val="1FBA781A"/>
    <w:rsid w:val="1FBB1F9D"/>
    <w:rsid w:val="1FBC25A9"/>
    <w:rsid w:val="1FBD1BCC"/>
    <w:rsid w:val="1FC10D25"/>
    <w:rsid w:val="1FC55882"/>
    <w:rsid w:val="1FC72AAD"/>
    <w:rsid w:val="1FCB460D"/>
    <w:rsid w:val="1FD9176A"/>
    <w:rsid w:val="1FE0791D"/>
    <w:rsid w:val="1FE36BB4"/>
    <w:rsid w:val="1FF12AC7"/>
    <w:rsid w:val="1FFC2A30"/>
    <w:rsid w:val="20015309"/>
    <w:rsid w:val="200A1765"/>
    <w:rsid w:val="200B2D7E"/>
    <w:rsid w:val="201C4077"/>
    <w:rsid w:val="201D6782"/>
    <w:rsid w:val="201E6F2F"/>
    <w:rsid w:val="202B513D"/>
    <w:rsid w:val="202E49D1"/>
    <w:rsid w:val="202F2ED1"/>
    <w:rsid w:val="20382865"/>
    <w:rsid w:val="203D6B16"/>
    <w:rsid w:val="20436359"/>
    <w:rsid w:val="204B4F45"/>
    <w:rsid w:val="2050062C"/>
    <w:rsid w:val="205008AE"/>
    <w:rsid w:val="20527347"/>
    <w:rsid w:val="205A4F5A"/>
    <w:rsid w:val="205F0BFD"/>
    <w:rsid w:val="2061691F"/>
    <w:rsid w:val="20630258"/>
    <w:rsid w:val="206D0968"/>
    <w:rsid w:val="20751206"/>
    <w:rsid w:val="207553B2"/>
    <w:rsid w:val="207F0501"/>
    <w:rsid w:val="208F1943"/>
    <w:rsid w:val="20934ECD"/>
    <w:rsid w:val="209F4108"/>
    <w:rsid w:val="20A44C56"/>
    <w:rsid w:val="20A57C2B"/>
    <w:rsid w:val="20AC5E03"/>
    <w:rsid w:val="20AE12A5"/>
    <w:rsid w:val="20B412E1"/>
    <w:rsid w:val="20B53E74"/>
    <w:rsid w:val="20B76549"/>
    <w:rsid w:val="20BD5DF5"/>
    <w:rsid w:val="20BE549C"/>
    <w:rsid w:val="20C12608"/>
    <w:rsid w:val="20C869AC"/>
    <w:rsid w:val="20CC2A4D"/>
    <w:rsid w:val="20D07AF5"/>
    <w:rsid w:val="20D1423C"/>
    <w:rsid w:val="20D96737"/>
    <w:rsid w:val="20DA35C6"/>
    <w:rsid w:val="20DA4748"/>
    <w:rsid w:val="20E87537"/>
    <w:rsid w:val="20E95C04"/>
    <w:rsid w:val="20F41C36"/>
    <w:rsid w:val="20F56B1D"/>
    <w:rsid w:val="20F86206"/>
    <w:rsid w:val="20FE30AC"/>
    <w:rsid w:val="20FF48D2"/>
    <w:rsid w:val="21007C60"/>
    <w:rsid w:val="21047370"/>
    <w:rsid w:val="21047B55"/>
    <w:rsid w:val="210841F0"/>
    <w:rsid w:val="210B604F"/>
    <w:rsid w:val="210C6941"/>
    <w:rsid w:val="210E41E9"/>
    <w:rsid w:val="21150972"/>
    <w:rsid w:val="21156250"/>
    <w:rsid w:val="21172619"/>
    <w:rsid w:val="211A426A"/>
    <w:rsid w:val="211B1B67"/>
    <w:rsid w:val="211B4356"/>
    <w:rsid w:val="21235868"/>
    <w:rsid w:val="21247F4E"/>
    <w:rsid w:val="212A1AAC"/>
    <w:rsid w:val="212C155D"/>
    <w:rsid w:val="212C1E85"/>
    <w:rsid w:val="21300BC5"/>
    <w:rsid w:val="21332B1A"/>
    <w:rsid w:val="213973CD"/>
    <w:rsid w:val="2143599D"/>
    <w:rsid w:val="21444C99"/>
    <w:rsid w:val="214571CB"/>
    <w:rsid w:val="214819D1"/>
    <w:rsid w:val="214B065E"/>
    <w:rsid w:val="215053AD"/>
    <w:rsid w:val="215E227E"/>
    <w:rsid w:val="215F7CD8"/>
    <w:rsid w:val="2161338D"/>
    <w:rsid w:val="21621722"/>
    <w:rsid w:val="216315D3"/>
    <w:rsid w:val="21644643"/>
    <w:rsid w:val="21647F2D"/>
    <w:rsid w:val="21657DFA"/>
    <w:rsid w:val="21694EEC"/>
    <w:rsid w:val="21695BD1"/>
    <w:rsid w:val="217058C0"/>
    <w:rsid w:val="21716AB6"/>
    <w:rsid w:val="21730C73"/>
    <w:rsid w:val="217C40F4"/>
    <w:rsid w:val="2182787F"/>
    <w:rsid w:val="218611CC"/>
    <w:rsid w:val="218F3461"/>
    <w:rsid w:val="219D0CDF"/>
    <w:rsid w:val="219F2B33"/>
    <w:rsid w:val="21A5187A"/>
    <w:rsid w:val="21B25B63"/>
    <w:rsid w:val="21B500E7"/>
    <w:rsid w:val="21B71A0F"/>
    <w:rsid w:val="21C33AD5"/>
    <w:rsid w:val="21C77354"/>
    <w:rsid w:val="21C9651F"/>
    <w:rsid w:val="21D03B3D"/>
    <w:rsid w:val="21D34371"/>
    <w:rsid w:val="21D37F3B"/>
    <w:rsid w:val="21D57B6A"/>
    <w:rsid w:val="21D60CAE"/>
    <w:rsid w:val="21D751C7"/>
    <w:rsid w:val="21D86620"/>
    <w:rsid w:val="21DD5CCA"/>
    <w:rsid w:val="21E40D7F"/>
    <w:rsid w:val="21E4597D"/>
    <w:rsid w:val="21E54077"/>
    <w:rsid w:val="21EB2BEC"/>
    <w:rsid w:val="21ED1D26"/>
    <w:rsid w:val="21EE3C8B"/>
    <w:rsid w:val="21FA1970"/>
    <w:rsid w:val="21FD032F"/>
    <w:rsid w:val="220717F9"/>
    <w:rsid w:val="22090656"/>
    <w:rsid w:val="2209216C"/>
    <w:rsid w:val="220B206C"/>
    <w:rsid w:val="220D7809"/>
    <w:rsid w:val="22127F11"/>
    <w:rsid w:val="221561BF"/>
    <w:rsid w:val="2216007B"/>
    <w:rsid w:val="221769F5"/>
    <w:rsid w:val="221C0F6B"/>
    <w:rsid w:val="221F022B"/>
    <w:rsid w:val="22275344"/>
    <w:rsid w:val="222D1285"/>
    <w:rsid w:val="222E287C"/>
    <w:rsid w:val="222F2F1A"/>
    <w:rsid w:val="2239041F"/>
    <w:rsid w:val="22396B59"/>
    <w:rsid w:val="223B359B"/>
    <w:rsid w:val="223C3042"/>
    <w:rsid w:val="224C27E2"/>
    <w:rsid w:val="224F416B"/>
    <w:rsid w:val="225033A7"/>
    <w:rsid w:val="225528CA"/>
    <w:rsid w:val="225A2A5F"/>
    <w:rsid w:val="225A4DB4"/>
    <w:rsid w:val="225C0444"/>
    <w:rsid w:val="225C3369"/>
    <w:rsid w:val="2265085C"/>
    <w:rsid w:val="22652118"/>
    <w:rsid w:val="22683F8E"/>
    <w:rsid w:val="227318FF"/>
    <w:rsid w:val="227D1C9C"/>
    <w:rsid w:val="22804D1B"/>
    <w:rsid w:val="22825098"/>
    <w:rsid w:val="228C08C3"/>
    <w:rsid w:val="228F1F3C"/>
    <w:rsid w:val="228F7A14"/>
    <w:rsid w:val="229203F6"/>
    <w:rsid w:val="2292462F"/>
    <w:rsid w:val="229C3196"/>
    <w:rsid w:val="22AB780D"/>
    <w:rsid w:val="22B52D8A"/>
    <w:rsid w:val="22B56D29"/>
    <w:rsid w:val="22BB42DD"/>
    <w:rsid w:val="22BB4F63"/>
    <w:rsid w:val="22BC1646"/>
    <w:rsid w:val="22BD11B0"/>
    <w:rsid w:val="22C22EC0"/>
    <w:rsid w:val="22C5516D"/>
    <w:rsid w:val="22C55835"/>
    <w:rsid w:val="22C825C6"/>
    <w:rsid w:val="22CE60F3"/>
    <w:rsid w:val="22CF3BA8"/>
    <w:rsid w:val="22D4663D"/>
    <w:rsid w:val="22D60D96"/>
    <w:rsid w:val="22DE5545"/>
    <w:rsid w:val="22E0021E"/>
    <w:rsid w:val="22E2094F"/>
    <w:rsid w:val="22E247F6"/>
    <w:rsid w:val="22E24C5D"/>
    <w:rsid w:val="22E709A8"/>
    <w:rsid w:val="22E95886"/>
    <w:rsid w:val="22ED3115"/>
    <w:rsid w:val="22F448B6"/>
    <w:rsid w:val="22F55D72"/>
    <w:rsid w:val="22F90DA1"/>
    <w:rsid w:val="2307577E"/>
    <w:rsid w:val="23097578"/>
    <w:rsid w:val="2315010C"/>
    <w:rsid w:val="23154B1B"/>
    <w:rsid w:val="231619B3"/>
    <w:rsid w:val="231C2BF8"/>
    <w:rsid w:val="23212CEE"/>
    <w:rsid w:val="23252C0B"/>
    <w:rsid w:val="232E063C"/>
    <w:rsid w:val="232E6EFB"/>
    <w:rsid w:val="232F0B10"/>
    <w:rsid w:val="23302706"/>
    <w:rsid w:val="23313352"/>
    <w:rsid w:val="233311D6"/>
    <w:rsid w:val="233940C2"/>
    <w:rsid w:val="233C45D5"/>
    <w:rsid w:val="233D354B"/>
    <w:rsid w:val="233E1D7F"/>
    <w:rsid w:val="23405159"/>
    <w:rsid w:val="23421EC7"/>
    <w:rsid w:val="2348066F"/>
    <w:rsid w:val="23482553"/>
    <w:rsid w:val="234B796E"/>
    <w:rsid w:val="234C3079"/>
    <w:rsid w:val="234C5427"/>
    <w:rsid w:val="234E7DBE"/>
    <w:rsid w:val="234F7785"/>
    <w:rsid w:val="23540DAE"/>
    <w:rsid w:val="235A1848"/>
    <w:rsid w:val="235D18A4"/>
    <w:rsid w:val="235D42C8"/>
    <w:rsid w:val="2363614D"/>
    <w:rsid w:val="2364279E"/>
    <w:rsid w:val="236468A4"/>
    <w:rsid w:val="237867E8"/>
    <w:rsid w:val="237A2E5F"/>
    <w:rsid w:val="237B590B"/>
    <w:rsid w:val="238708F0"/>
    <w:rsid w:val="238C3855"/>
    <w:rsid w:val="238E2D3E"/>
    <w:rsid w:val="238E3082"/>
    <w:rsid w:val="23934C1B"/>
    <w:rsid w:val="23970696"/>
    <w:rsid w:val="239B2778"/>
    <w:rsid w:val="23A01CB5"/>
    <w:rsid w:val="23A66DD6"/>
    <w:rsid w:val="23A71B41"/>
    <w:rsid w:val="23AC4136"/>
    <w:rsid w:val="23AD28E6"/>
    <w:rsid w:val="23B1546B"/>
    <w:rsid w:val="23B15A1A"/>
    <w:rsid w:val="23B26928"/>
    <w:rsid w:val="23B51196"/>
    <w:rsid w:val="23B711D1"/>
    <w:rsid w:val="23BD5C5C"/>
    <w:rsid w:val="23BF20EA"/>
    <w:rsid w:val="23C32540"/>
    <w:rsid w:val="23C44B0C"/>
    <w:rsid w:val="23C93A9D"/>
    <w:rsid w:val="23CB4C36"/>
    <w:rsid w:val="23D0186F"/>
    <w:rsid w:val="23D30EA8"/>
    <w:rsid w:val="23DE3262"/>
    <w:rsid w:val="23E016BB"/>
    <w:rsid w:val="23E04592"/>
    <w:rsid w:val="23E32EB2"/>
    <w:rsid w:val="23E41E30"/>
    <w:rsid w:val="23EE3238"/>
    <w:rsid w:val="23F857D9"/>
    <w:rsid w:val="23FA57BD"/>
    <w:rsid w:val="23FD6F47"/>
    <w:rsid w:val="2409199F"/>
    <w:rsid w:val="2417445C"/>
    <w:rsid w:val="241E00FA"/>
    <w:rsid w:val="241F3394"/>
    <w:rsid w:val="242915AE"/>
    <w:rsid w:val="242C3189"/>
    <w:rsid w:val="242F3721"/>
    <w:rsid w:val="24325082"/>
    <w:rsid w:val="24413A3D"/>
    <w:rsid w:val="244A28A1"/>
    <w:rsid w:val="244B7998"/>
    <w:rsid w:val="244D5CD3"/>
    <w:rsid w:val="24542946"/>
    <w:rsid w:val="24566AE1"/>
    <w:rsid w:val="24587356"/>
    <w:rsid w:val="24624C66"/>
    <w:rsid w:val="24672C3E"/>
    <w:rsid w:val="246F744D"/>
    <w:rsid w:val="24701F6B"/>
    <w:rsid w:val="247372E8"/>
    <w:rsid w:val="247E6DD2"/>
    <w:rsid w:val="248244FA"/>
    <w:rsid w:val="248332A9"/>
    <w:rsid w:val="2486614B"/>
    <w:rsid w:val="248B0CDE"/>
    <w:rsid w:val="248B0DA6"/>
    <w:rsid w:val="248D3590"/>
    <w:rsid w:val="24913C81"/>
    <w:rsid w:val="249F34B8"/>
    <w:rsid w:val="24A30FA8"/>
    <w:rsid w:val="24AA4F13"/>
    <w:rsid w:val="24AD3A18"/>
    <w:rsid w:val="24B23CF6"/>
    <w:rsid w:val="24B82643"/>
    <w:rsid w:val="24BD53BB"/>
    <w:rsid w:val="24BE7C21"/>
    <w:rsid w:val="24BF5257"/>
    <w:rsid w:val="24C03C06"/>
    <w:rsid w:val="24C07ACE"/>
    <w:rsid w:val="24C35CC4"/>
    <w:rsid w:val="24C45E78"/>
    <w:rsid w:val="24C827C6"/>
    <w:rsid w:val="24CA459A"/>
    <w:rsid w:val="24CD34B2"/>
    <w:rsid w:val="24CE2080"/>
    <w:rsid w:val="24D004AE"/>
    <w:rsid w:val="24D02C5D"/>
    <w:rsid w:val="24D36C9E"/>
    <w:rsid w:val="24D7140D"/>
    <w:rsid w:val="24DF6801"/>
    <w:rsid w:val="24E11385"/>
    <w:rsid w:val="24F37740"/>
    <w:rsid w:val="24F578F9"/>
    <w:rsid w:val="24F85BCB"/>
    <w:rsid w:val="24F9619E"/>
    <w:rsid w:val="24FA2D63"/>
    <w:rsid w:val="25055F98"/>
    <w:rsid w:val="25082164"/>
    <w:rsid w:val="250C1F4E"/>
    <w:rsid w:val="25294C36"/>
    <w:rsid w:val="252F6EB7"/>
    <w:rsid w:val="25351850"/>
    <w:rsid w:val="253C6288"/>
    <w:rsid w:val="25435674"/>
    <w:rsid w:val="25437AEE"/>
    <w:rsid w:val="25470C6A"/>
    <w:rsid w:val="254755B8"/>
    <w:rsid w:val="25482F73"/>
    <w:rsid w:val="254924F9"/>
    <w:rsid w:val="254A0BC6"/>
    <w:rsid w:val="254B7D4F"/>
    <w:rsid w:val="25550609"/>
    <w:rsid w:val="25580360"/>
    <w:rsid w:val="255B385A"/>
    <w:rsid w:val="255D3894"/>
    <w:rsid w:val="255F003A"/>
    <w:rsid w:val="256061F3"/>
    <w:rsid w:val="25624797"/>
    <w:rsid w:val="25674882"/>
    <w:rsid w:val="25694A25"/>
    <w:rsid w:val="256B0D87"/>
    <w:rsid w:val="256B3A61"/>
    <w:rsid w:val="256F465D"/>
    <w:rsid w:val="25727E0F"/>
    <w:rsid w:val="25794AA8"/>
    <w:rsid w:val="258374AD"/>
    <w:rsid w:val="25875140"/>
    <w:rsid w:val="258B543F"/>
    <w:rsid w:val="258B6D07"/>
    <w:rsid w:val="258C74A4"/>
    <w:rsid w:val="25912FAB"/>
    <w:rsid w:val="259439C2"/>
    <w:rsid w:val="259579A7"/>
    <w:rsid w:val="25A60E9A"/>
    <w:rsid w:val="25A65B9E"/>
    <w:rsid w:val="25A667AC"/>
    <w:rsid w:val="25AC42C5"/>
    <w:rsid w:val="25AC698A"/>
    <w:rsid w:val="25AD1874"/>
    <w:rsid w:val="25B24D25"/>
    <w:rsid w:val="25B266C7"/>
    <w:rsid w:val="25B70773"/>
    <w:rsid w:val="25B75D2C"/>
    <w:rsid w:val="25B90DBD"/>
    <w:rsid w:val="25B94671"/>
    <w:rsid w:val="25BB2146"/>
    <w:rsid w:val="25BF1D1E"/>
    <w:rsid w:val="25C028D1"/>
    <w:rsid w:val="25C150E4"/>
    <w:rsid w:val="25C3495E"/>
    <w:rsid w:val="25C53577"/>
    <w:rsid w:val="25C776A8"/>
    <w:rsid w:val="25CA36C0"/>
    <w:rsid w:val="25D41D59"/>
    <w:rsid w:val="25D96E2C"/>
    <w:rsid w:val="25DB0D77"/>
    <w:rsid w:val="25DD7493"/>
    <w:rsid w:val="25DE7967"/>
    <w:rsid w:val="25DE7B23"/>
    <w:rsid w:val="25E2457E"/>
    <w:rsid w:val="25E76016"/>
    <w:rsid w:val="25EA062F"/>
    <w:rsid w:val="25F253AD"/>
    <w:rsid w:val="25F25C40"/>
    <w:rsid w:val="25F42732"/>
    <w:rsid w:val="26055A82"/>
    <w:rsid w:val="260C19E0"/>
    <w:rsid w:val="261A1A3C"/>
    <w:rsid w:val="261D341A"/>
    <w:rsid w:val="261E0BDD"/>
    <w:rsid w:val="26254DA6"/>
    <w:rsid w:val="262722D2"/>
    <w:rsid w:val="26283C4C"/>
    <w:rsid w:val="262A6D17"/>
    <w:rsid w:val="26390057"/>
    <w:rsid w:val="263C235B"/>
    <w:rsid w:val="264A64F2"/>
    <w:rsid w:val="26546230"/>
    <w:rsid w:val="265824D4"/>
    <w:rsid w:val="265D7ABB"/>
    <w:rsid w:val="26625D14"/>
    <w:rsid w:val="266C2FA4"/>
    <w:rsid w:val="266D6FBC"/>
    <w:rsid w:val="26786C76"/>
    <w:rsid w:val="267D75B7"/>
    <w:rsid w:val="268956C5"/>
    <w:rsid w:val="268C0E73"/>
    <w:rsid w:val="268D3EDD"/>
    <w:rsid w:val="2690384C"/>
    <w:rsid w:val="269537B4"/>
    <w:rsid w:val="26956762"/>
    <w:rsid w:val="269675E7"/>
    <w:rsid w:val="26977908"/>
    <w:rsid w:val="26A16B4C"/>
    <w:rsid w:val="26A67376"/>
    <w:rsid w:val="26B4745F"/>
    <w:rsid w:val="26B515A4"/>
    <w:rsid w:val="26C929E1"/>
    <w:rsid w:val="26CA6248"/>
    <w:rsid w:val="26D67FE9"/>
    <w:rsid w:val="26D9780A"/>
    <w:rsid w:val="26DF3DDB"/>
    <w:rsid w:val="26ED191D"/>
    <w:rsid w:val="26F535C1"/>
    <w:rsid w:val="26F66BED"/>
    <w:rsid w:val="26FD5FC7"/>
    <w:rsid w:val="26FE3363"/>
    <w:rsid w:val="27051852"/>
    <w:rsid w:val="270D5825"/>
    <w:rsid w:val="27116A7A"/>
    <w:rsid w:val="27166EF6"/>
    <w:rsid w:val="27181F13"/>
    <w:rsid w:val="271B7C97"/>
    <w:rsid w:val="27225E7D"/>
    <w:rsid w:val="27287867"/>
    <w:rsid w:val="272F04B9"/>
    <w:rsid w:val="272F4549"/>
    <w:rsid w:val="27334035"/>
    <w:rsid w:val="27341EF8"/>
    <w:rsid w:val="273602BB"/>
    <w:rsid w:val="273C713A"/>
    <w:rsid w:val="274107F5"/>
    <w:rsid w:val="27427343"/>
    <w:rsid w:val="27430A52"/>
    <w:rsid w:val="27614C14"/>
    <w:rsid w:val="27630268"/>
    <w:rsid w:val="27752AA6"/>
    <w:rsid w:val="2777560A"/>
    <w:rsid w:val="277B5CE8"/>
    <w:rsid w:val="277B72A5"/>
    <w:rsid w:val="277D6BA6"/>
    <w:rsid w:val="278474A2"/>
    <w:rsid w:val="27870561"/>
    <w:rsid w:val="278710CB"/>
    <w:rsid w:val="278A3B89"/>
    <w:rsid w:val="27960188"/>
    <w:rsid w:val="279F6900"/>
    <w:rsid w:val="27A22F96"/>
    <w:rsid w:val="27A7523E"/>
    <w:rsid w:val="27B03FC7"/>
    <w:rsid w:val="27B247DF"/>
    <w:rsid w:val="27B96688"/>
    <w:rsid w:val="27BB06B3"/>
    <w:rsid w:val="27BD7E46"/>
    <w:rsid w:val="27C9022C"/>
    <w:rsid w:val="27CA5EC5"/>
    <w:rsid w:val="27CF45F8"/>
    <w:rsid w:val="27D37D51"/>
    <w:rsid w:val="27D61C8B"/>
    <w:rsid w:val="27DD2646"/>
    <w:rsid w:val="27EA161F"/>
    <w:rsid w:val="27EB6460"/>
    <w:rsid w:val="27ED71DD"/>
    <w:rsid w:val="27EE117C"/>
    <w:rsid w:val="27F15F55"/>
    <w:rsid w:val="27F27FFD"/>
    <w:rsid w:val="27F458CF"/>
    <w:rsid w:val="27F46057"/>
    <w:rsid w:val="28064BEA"/>
    <w:rsid w:val="280C7077"/>
    <w:rsid w:val="28164CBD"/>
    <w:rsid w:val="281F4EB7"/>
    <w:rsid w:val="28241C65"/>
    <w:rsid w:val="28245C76"/>
    <w:rsid w:val="28253FD2"/>
    <w:rsid w:val="28257D1B"/>
    <w:rsid w:val="283060F0"/>
    <w:rsid w:val="283478F8"/>
    <w:rsid w:val="28363582"/>
    <w:rsid w:val="28380931"/>
    <w:rsid w:val="283D5BCB"/>
    <w:rsid w:val="28446D88"/>
    <w:rsid w:val="284F10CE"/>
    <w:rsid w:val="285D0891"/>
    <w:rsid w:val="285D0CA7"/>
    <w:rsid w:val="285F5902"/>
    <w:rsid w:val="28607F6D"/>
    <w:rsid w:val="28622C53"/>
    <w:rsid w:val="28680E59"/>
    <w:rsid w:val="28737F35"/>
    <w:rsid w:val="28745F6A"/>
    <w:rsid w:val="28793276"/>
    <w:rsid w:val="287A7B58"/>
    <w:rsid w:val="287E2813"/>
    <w:rsid w:val="28803357"/>
    <w:rsid w:val="28805B76"/>
    <w:rsid w:val="288F0AA1"/>
    <w:rsid w:val="28A32070"/>
    <w:rsid w:val="28A85B00"/>
    <w:rsid w:val="28B65906"/>
    <w:rsid w:val="28B70FCF"/>
    <w:rsid w:val="28BC2C75"/>
    <w:rsid w:val="28BC448B"/>
    <w:rsid w:val="28C142F3"/>
    <w:rsid w:val="28C5023E"/>
    <w:rsid w:val="28CC584C"/>
    <w:rsid w:val="28CD1FC9"/>
    <w:rsid w:val="28D136FB"/>
    <w:rsid w:val="28D154E5"/>
    <w:rsid w:val="28D92539"/>
    <w:rsid w:val="28DD718E"/>
    <w:rsid w:val="28E94EA5"/>
    <w:rsid w:val="28F00CB4"/>
    <w:rsid w:val="28F120A1"/>
    <w:rsid w:val="28FA4CA7"/>
    <w:rsid w:val="290163D0"/>
    <w:rsid w:val="29043D5D"/>
    <w:rsid w:val="290619CA"/>
    <w:rsid w:val="2912211D"/>
    <w:rsid w:val="29137539"/>
    <w:rsid w:val="291936B6"/>
    <w:rsid w:val="291E45FD"/>
    <w:rsid w:val="293B3CCE"/>
    <w:rsid w:val="293C7D00"/>
    <w:rsid w:val="294744D8"/>
    <w:rsid w:val="294A11E3"/>
    <w:rsid w:val="294B403B"/>
    <w:rsid w:val="29522C8F"/>
    <w:rsid w:val="29546C33"/>
    <w:rsid w:val="295517E2"/>
    <w:rsid w:val="29570744"/>
    <w:rsid w:val="29584661"/>
    <w:rsid w:val="295A630B"/>
    <w:rsid w:val="295D2BA4"/>
    <w:rsid w:val="29600C9A"/>
    <w:rsid w:val="296D06FC"/>
    <w:rsid w:val="296E5D09"/>
    <w:rsid w:val="296F79D5"/>
    <w:rsid w:val="29717467"/>
    <w:rsid w:val="29772AF0"/>
    <w:rsid w:val="297841F6"/>
    <w:rsid w:val="29827622"/>
    <w:rsid w:val="298E3CDD"/>
    <w:rsid w:val="298E487B"/>
    <w:rsid w:val="29936B21"/>
    <w:rsid w:val="29957042"/>
    <w:rsid w:val="299635B6"/>
    <w:rsid w:val="29A5473F"/>
    <w:rsid w:val="29A97318"/>
    <w:rsid w:val="29AA1635"/>
    <w:rsid w:val="29AA725A"/>
    <w:rsid w:val="29AC03CA"/>
    <w:rsid w:val="29AE6275"/>
    <w:rsid w:val="29C7661B"/>
    <w:rsid w:val="29CA18FB"/>
    <w:rsid w:val="29D3113F"/>
    <w:rsid w:val="29D40EFA"/>
    <w:rsid w:val="29D83ECE"/>
    <w:rsid w:val="29DC04BD"/>
    <w:rsid w:val="29DE652E"/>
    <w:rsid w:val="29E022BB"/>
    <w:rsid w:val="29EF60A3"/>
    <w:rsid w:val="29F11AA1"/>
    <w:rsid w:val="29F67302"/>
    <w:rsid w:val="2A0470E9"/>
    <w:rsid w:val="2A097C65"/>
    <w:rsid w:val="2A0A7890"/>
    <w:rsid w:val="2A0B1A2C"/>
    <w:rsid w:val="2A0B7EED"/>
    <w:rsid w:val="2A101AA2"/>
    <w:rsid w:val="2A1B4D75"/>
    <w:rsid w:val="2A2409D4"/>
    <w:rsid w:val="2A253288"/>
    <w:rsid w:val="2A2C62E9"/>
    <w:rsid w:val="2A3345CD"/>
    <w:rsid w:val="2A3B6106"/>
    <w:rsid w:val="2A4144F4"/>
    <w:rsid w:val="2A451388"/>
    <w:rsid w:val="2A4837EB"/>
    <w:rsid w:val="2A502CD7"/>
    <w:rsid w:val="2A510398"/>
    <w:rsid w:val="2A516D18"/>
    <w:rsid w:val="2A55550D"/>
    <w:rsid w:val="2A581989"/>
    <w:rsid w:val="2A5B5C6F"/>
    <w:rsid w:val="2A694463"/>
    <w:rsid w:val="2A6A6A12"/>
    <w:rsid w:val="2A6B4279"/>
    <w:rsid w:val="2A6D687E"/>
    <w:rsid w:val="2A731DCA"/>
    <w:rsid w:val="2A733543"/>
    <w:rsid w:val="2A741A5A"/>
    <w:rsid w:val="2A7A5AD5"/>
    <w:rsid w:val="2A7D0D40"/>
    <w:rsid w:val="2A8139E1"/>
    <w:rsid w:val="2A892C66"/>
    <w:rsid w:val="2A8B0D12"/>
    <w:rsid w:val="2A9A5BF5"/>
    <w:rsid w:val="2A9F5B84"/>
    <w:rsid w:val="2AA42D39"/>
    <w:rsid w:val="2AAB5BFD"/>
    <w:rsid w:val="2AAD7E66"/>
    <w:rsid w:val="2AAE3CA3"/>
    <w:rsid w:val="2AAE3E63"/>
    <w:rsid w:val="2AB2384D"/>
    <w:rsid w:val="2AB30DA1"/>
    <w:rsid w:val="2AB33770"/>
    <w:rsid w:val="2AB7527F"/>
    <w:rsid w:val="2ABA67C0"/>
    <w:rsid w:val="2ABD0ACB"/>
    <w:rsid w:val="2AC05879"/>
    <w:rsid w:val="2AC07F35"/>
    <w:rsid w:val="2AC219E5"/>
    <w:rsid w:val="2AC36440"/>
    <w:rsid w:val="2AC4557D"/>
    <w:rsid w:val="2AC66A3B"/>
    <w:rsid w:val="2AC66F45"/>
    <w:rsid w:val="2AC9465A"/>
    <w:rsid w:val="2AC952CB"/>
    <w:rsid w:val="2ACB1B30"/>
    <w:rsid w:val="2ACC40EC"/>
    <w:rsid w:val="2ACE53BF"/>
    <w:rsid w:val="2ACE74CF"/>
    <w:rsid w:val="2ACF3B9C"/>
    <w:rsid w:val="2AD05C62"/>
    <w:rsid w:val="2AD22625"/>
    <w:rsid w:val="2AD83E4D"/>
    <w:rsid w:val="2ADB48D1"/>
    <w:rsid w:val="2AE559F5"/>
    <w:rsid w:val="2AEC24FC"/>
    <w:rsid w:val="2AF211C4"/>
    <w:rsid w:val="2AF601D2"/>
    <w:rsid w:val="2AF825E3"/>
    <w:rsid w:val="2AFF7985"/>
    <w:rsid w:val="2B000AD7"/>
    <w:rsid w:val="2B0926B7"/>
    <w:rsid w:val="2B092A4D"/>
    <w:rsid w:val="2B0E3E4A"/>
    <w:rsid w:val="2B0F45C4"/>
    <w:rsid w:val="2B11257B"/>
    <w:rsid w:val="2B134A00"/>
    <w:rsid w:val="2B1853C5"/>
    <w:rsid w:val="2B2A6193"/>
    <w:rsid w:val="2B2F004A"/>
    <w:rsid w:val="2B366CFB"/>
    <w:rsid w:val="2B387813"/>
    <w:rsid w:val="2B393CFE"/>
    <w:rsid w:val="2B3A05CD"/>
    <w:rsid w:val="2B3A70A2"/>
    <w:rsid w:val="2B3B1E7A"/>
    <w:rsid w:val="2B3D3AB4"/>
    <w:rsid w:val="2B402387"/>
    <w:rsid w:val="2B4545E9"/>
    <w:rsid w:val="2B4574E0"/>
    <w:rsid w:val="2B4C6A49"/>
    <w:rsid w:val="2B4F54B4"/>
    <w:rsid w:val="2B560C10"/>
    <w:rsid w:val="2B595D7A"/>
    <w:rsid w:val="2B597FF9"/>
    <w:rsid w:val="2B614808"/>
    <w:rsid w:val="2B6225A3"/>
    <w:rsid w:val="2B62325A"/>
    <w:rsid w:val="2B632395"/>
    <w:rsid w:val="2B66084C"/>
    <w:rsid w:val="2B706965"/>
    <w:rsid w:val="2B720D8D"/>
    <w:rsid w:val="2B75277C"/>
    <w:rsid w:val="2B787FDA"/>
    <w:rsid w:val="2B805511"/>
    <w:rsid w:val="2B8806C6"/>
    <w:rsid w:val="2B8A7081"/>
    <w:rsid w:val="2B9A3C91"/>
    <w:rsid w:val="2B9A5DEB"/>
    <w:rsid w:val="2B9C7261"/>
    <w:rsid w:val="2BA56AE4"/>
    <w:rsid w:val="2BA6650B"/>
    <w:rsid w:val="2BA665DA"/>
    <w:rsid w:val="2BAC14C3"/>
    <w:rsid w:val="2BAC4E49"/>
    <w:rsid w:val="2BAC7748"/>
    <w:rsid w:val="2BAD4A1B"/>
    <w:rsid w:val="2BB04EED"/>
    <w:rsid w:val="2BB138B3"/>
    <w:rsid w:val="2BB7013D"/>
    <w:rsid w:val="2BBF2462"/>
    <w:rsid w:val="2BC00CBF"/>
    <w:rsid w:val="2BC10107"/>
    <w:rsid w:val="2BD04F61"/>
    <w:rsid w:val="2BD3273E"/>
    <w:rsid w:val="2BD8508E"/>
    <w:rsid w:val="2BD91A40"/>
    <w:rsid w:val="2BDB4C8B"/>
    <w:rsid w:val="2BDE0F19"/>
    <w:rsid w:val="2BDE333A"/>
    <w:rsid w:val="2BE27516"/>
    <w:rsid w:val="2BE546A5"/>
    <w:rsid w:val="2BE936B4"/>
    <w:rsid w:val="2BF336A1"/>
    <w:rsid w:val="2BF41FFA"/>
    <w:rsid w:val="2BF81013"/>
    <w:rsid w:val="2BFC3099"/>
    <w:rsid w:val="2BFD60ED"/>
    <w:rsid w:val="2C01646E"/>
    <w:rsid w:val="2C020B60"/>
    <w:rsid w:val="2C0477C6"/>
    <w:rsid w:val="2C06227B"/>
    <w:rsid w:val="2C064401"/>
    <w:rsid w:val="2C127109"/>
    <w:rsid w:val="2C132928"/>
    <w:rsid w:val="2C192D5E"/>
    <w:rsid w:val="2C246B8C"/>
    <w:rsid w:val="2C2D72F7"/>
    <w:rsid w:val="2C2E1141"/>
    <w:rsid w:val="2C2E5471"/>
    <w:rsid w:val="2C3017B6"/>
    <w:rsid w:val="2C304624"/>
    <w:rsid w:val="2C310EB9"/>
    <w:rsid w:val="2C321467"/>
    <w:rsid w:val="2C322E9B"/>
    <w:rsid w:val="2C335C87"/>
    <w:rsid w:val="2C3372CB"/>
    <w:rsid w:val="2C38268A"/>
    <w:rsid w:val="2C386121"/>
    <w:rsid w:val="2C3B3A4B"/>
    <w:rsid w:val="2C3D6E55"/>
    <w:rsid w:val="2C3E141C"/>
    <w:rsid w:val="2C451AA8"/>
    <w:rsid w:val="2C453F99"/>
    <w:rsid w:val="2C494FB9"/>
    <w:rsid w:val="2C4A5DAF"/>
    <w:rsid w:val="2C5234E7"/>
    <w:rsid w:val="2C56026B"/>
    <w:rsid w:val="2C58238A"/>
    <w:rsid w:val="2C5A5F3C"/>
    <w:rsid w:val="2C5B5BCC"/>
    <w:rsid w:val="2C5C4284"/>
    <w:rsid w:val="2C610648"/>
    <w:rsid w:val="2C663274"/>
    <w:rsid w:val="2C6A0538"/>
    <w:rsid w:val="2C6C79CC"/>
    <w:rsid w:val="2C6D1A63"/>
    <w:rsid w:val="2C7772A1"/>
    <w:rsid w:val="2C7D07EA"/>
    <w:rsid w:val="2C7D0EEE"/>
    <w:rsid w:val="2C80254B"/>
    <w:rsid w:val="2C863ED9"/>
    <w:rsid w:val="2C892137"/>
    <w:rsid w:val="2C8D1808"/>
    <w:rsid w:val="2C8D1FA2"/>
    <w:rsid w:val="2C901F65"/>
    <w:rsid w:val="2C981F48"/>
    <w:rsid w:val="2C9A0E8E"/>
    <w:rsid w:val="2CA736C1"/>
    <w:rsid w:val="2CAF52B2"/>
    <w:rsid w:val="2CB86F0F"/>
    <w:rsid w:val="2CBB0BD9"/>
    <w:rsid w:val="2CBD3F47"/>
    <w:rsid w:val="2CC17AD0"/>
    <w:rsid w:val="2CC36021"/>
    <w:rsid w:val="2CC5217E"/>
    <w:rsid w:val="2CC666AE"/>
    <w:rsid w:val="2CC73D24"/>
    <w:rsid w:val="2CCA6E5C"/>
    <w:rsid w:val="2CCC39EE"/>
    <w:rsid w:val="2CD23684"/>
    <w:rsid w:val="2CD877C9"/>
    <w:rsid w:val="2CDD7135"/>
    <w:rsid w:val="2CDF2CCD"/>
    <w:rsid w:val="2CDF3A8D"/>
    <w:rsid w:val="2CE70B34"/>
    <w:rsid w:val="2CE7578B"/>
    <w:rsid w:val="2CF1701C"/>
    <w:rsid w:val="2CF3190A"/>
    <w:rsid w:val="2CF375ED"/>
    <w:rsid w:val="2CF9139D"/>
    <w:rsid w:val="2CF931A2"/>
    <w:rsid w:val="2CFB2329"/>
    <w:rsid w:val="2CFC24F7"/>
    <w:rsid w:val="2CFD5E4B"/>
    <w:rsid w:val="2D052438"/>
    <w:rsid w:val="2D073587"/>
    <w:rsid w:val="2D0A4691"/>
    <w:rsid w:val="2D0E5B1A"/>
    <w:rsid w:val="2D161CD3"/>
    <w:rsid w:val="2D162435"/>
    <w:rsid w:val="2D183B20"/>
    <w:rsid w:val="2D186785"/>
    <w:rsid w:val="2D263C19"/>
    <w:rsid w:val="2D2734C6"/>
    <w:rsid w:val="2D277BAC"/>
    <w:rsid w:val="2D2B605B"/>
    <w:rsid w:val="2D2C28EC"/>
    <w:rsid w:val="2D3B3C4F"/>
    <w:rsid w:val="2D3B5AF4"/>
    <w:rsid w:val="2D463EAE"/>
    <w:rsid w:val="2D493D0A"/>
    <w:rsid w:val="2D4B20FA"/>
    <w:rsid w:val="2D531783"/>
    <w:rsid w:val="2D5E151A"/>
    <w:rsid w:val="2D621832"/>
    <w:rsid w:val="2D637474"/>
    <w:rsid w:val="2D6A643F"/>
    <w:rsid w:val="2D6B5743"/>
    <w:rsid w:val="2D6D2D48"/>
    <w:rsid w:val="2D801868"/>
    <w:rsid w:val="2D83202F"/>
    <w:rsid w:val="2D881971"/>
    <w:rsid w:val="2D8C1B81"/>
    <w:rsid w:val="2D8E2D3F"/>
    <w:rsid w:val="2D937A06"/>
    <w:rsid w:val="2D9416E3"/>
    <w:rsid w:val="2D980C44"/>
    <w:rsid w:val="2D9B5E92"/>
    <w:rsid w:val="2DA820F1"/>
    <w:rsid w:val="2DAA117A"/>
    <w:rsid w:val="2DB11BC2"/>
    <w:rsid w:val="2DB211B5"/>
    <w:rsid w:val="2DB34EC7"/>
    <w:rsid w:val="2DB81E62"/>
    <w:rsid w:val="2DBD2CBB"/>
    <w:rsid w:val="2DC204E9"/>
    <w:rsid w:val="2DC6105C"/>
    <w:rsid w:val="2DCB5010"/>
    <w:rsid w:val="2DCF7A88"/>
    <w:rsid w:val="2DD01FD4"/>
    <w:rsid w:val="2DD07347"/>
    <w:rsid w:val="2DD438CB"/>
    <w:rsid w:val="2DD52671"/>
    <w:rsid w:val="2DD63566"/>
    <w:rsid w:val="2DD8728A"/>
    <w:rsid w:val="2DDE4DEA"/>
    <w:rsid w:val="2DDE5308"/>
    <w:rsid w:val="2DE57DDF"/>
    <w:rsid w:val="2DE94B1B"/>
    <w:rsid w:val="2DEB48E8"/>
    <w:rsid w:val="2DED3351"/>
    <w:rsid w:val="2DF441EE"/>
    <w:rsid w:val="2DF46E5E"/>
    <w:rsid w:val="2DFA3202"/>
    <w:rsid w:val="2DFC02E7"/>
    <w:rsid w:val="2DFF41F1"/>
    <w:rsid w:val="2DFF5103"/>
    <w:rsid w:val="2E077CDD"/>
    <w:rsid w:val="2E0852FD"/>
    <w:rsid w:val="2E0D3EA0"/>
    <w:rsid w:val="2E1A272B"/>
    <w:rsid w:val="2E242D93"/>
    <w:rsid w:val="2E2859FC"/>
    <w:rsid w:val="2E2A22F0"/>
    <w:rsid w:val="2E2A6D50"/>
    <w:rsid w:val="2E2B4CCF"/>
    <w:rsid w:val="2E3A0372"/>
    <w:rsid w:val="2E3C6EDA"/>
    <w:rsid w:val="2E3D7AA8"/>
    <w:rsid w:val="2E3F3855"/>
    <w:rsid w:val="2E424A3E"/>
    <w:rsid w:val="2E424D32"/>
    <w:rsid w:val="2E427ACC"/>
    <w:rsid w:val="2E4964BC"/>
    <w:rsid w:val="2E4A2E73"/>
    <w:rsid w:val="2E4B42C2"/>
    <w:rsid w:val="2E4C3C80"/>
    <w:rsid w:val="2E4F2D82"/>
    <w:rsid w:val="2E4F570E"/>
    <w:rsid w:val="2E540691"/>
    <w:rsid w:val="2E5752B7"/>
    <w:rsid w:val="2E643A63"/>
    <w:rsid w:val="2E714C14"/>
    <w:rsid w:val="2E716A57"/>
    <w:rsid w:val="2E775CEE"/>
    <w:rsid w:val="2E7B02F4"/>
    <w:rsid w:val="2E7C10A3"/>
    <w:rsid w:val="2E7F39E7"/>
    <w:rsid w:val="2E8346A3"/>
    <w:rsid w:val="2E8547EB"/>
    <w:rsid w:val="2E857ED3"/>
    <w:rsid w:val="2E87366D"/>
    <w:rsid w:val="2E8848BC"/>
    <w:rsid w:val="2E8F7CD5"/>
    <w:rsid w:val="2E921080"/>
    <w:rsid w:val="2E9D7709"/>
    <w:rsid w:val="2EA43CB2"/>
    <w:rsid w:val="2EA67EFA"/>
    <w:rsid w:val="2EA73394"/>
    <w:rsid w:val="2EAC11D2"/>
    <w:rsid w:val="2EAE489D"/>
    <w:rsid w:val="2EAF28B6"/>
    <w:rsid w:val="2EAF3E60"/>
    <w:rsid w:val="2EB26A82"/>
    <w:rsid w:val="2EB355EC"/>
    <w:rsid w:val="2EB40964"/>
    <w:rsid w:val="2EB41FB8"/>
    <w:rsid w:val="2EB42D2A"/>
    <w:rsid w:val="2EBB3EA2"/>
    <w:rsid w:val="2EC001AA"/>
    <w:rsid w:val="2EC066F0"/>
    <w:rsid w:val="2EC37B1F"/>
    <w:rsid w:val="2EC646B8"/>
    <w:rsid w:val="2ED55FD7"/>
    <w:rsid w:val="2EE07B81"/>
    <w:rsid w:val="2EEC1E05"/>
    <w:rsid w:val="2EF65CF5"/>
    <w:rsid w:val="2EFB7A7B"/>
    <w:rsid w:val="2F013CFF"/>
    <w:rsid w:val="2F097049"/>
    <w:rsid w:val="2F132281"/>
    <w:rsid w:val="2F1619CB"/>
    <w:rsid w:val="2F197473"/>
    <w:rsid w:val="2F1A3EFD"/>
    <w:rsid w:val="2F1A642A"/>
    <w:rsid w:val="2F1B71F3"/>
    <w:rsid w:val="2F283C78"/>
    <w:rsid w:val="2F321CF4"/>
    <w:rsid w:val="2F3D46F7"/>
    <w:rsid w:val="2F402144"/>
    <w:rsid w:val="2F4128C3"/>
    <w:rsid w:val="2F4C053E"/>
    <w:rsid w:val="2F4C6DAC"/>
    <w:rsid w:val="2F4E18B1"/>
    <w:rsid w:val="2F4E6F7B"/>
    <w:rsid w:val="2F585018"/>
    <w:rsid w:val="2F5D7E52"/>
    <w:rsid w:val="2F5E03EA"/>
    <w:rsid w:val="2F5F349D"/>
    <w:rsid w:val="2F601F12"/>
    <w:rsid w:val="2F7445A5"/>
    <w:rsid w:val="2F746EB5"/>
    <w:rsid w:val="2F761B56"/>
    <w:rsid w:val="2F7A49EA"/>
    <w:rsid w:val="2F7B135A"/>
    <w:rsid w:val="2F81456D"/>
    <w:rsid w:val="2F814E6C"/>
    <w:rsid w:val="2F885209"/>
    <w:rsid w:val="2F8D17E3"/>
    <w:rsid w:val="2F9268FA"/>
    <w:rsid w:val="2F933668"/>
    <w:rsid w:val="2F9D2CFC"/>
    <w:rsid w:val="2FA13120"/>
    <w:rsid w:val="2FA357FE"/>
    <w:rsid w:val="2FAA7AB7"/>
    <w:rsid w:val="2FAC3A5B"/>
    <w:rsid w:val="2FB00E11"/>
    <w:rsid w:val="2FB4181B"/>
    <w:rsid w:val="2FB745C9"/>
    <w:rsid w:val="2FC57931"/>
    <w:rsid w:val="2FD00228"/>
    <w:rsid w:val="2FD01C8B"/>
    <w:rsid w:val="2FDB3633"/>
    <w:rsid w:val="2FDF1BB2"/>
    <w:rsid w:val="2FE65AE8"/>
    <w:rsid w:val="2FE76673"/>
    <w:rsid w:val="2FEA0D03"/>
    <w:rsid w:val="2FF064FD"/>
    <w:rsid w:val="2FF87686"/>
    <w:rsid w:val="2FFB438C"/>
    <w:rsid w:val="2FFF41F4"/>
    <w:rsid w:val="30081EE3"/>
    <w:rsid w:val="300D0CAA"/>
    <w:rsid w:val="300D14C4"/>
    <w:rsid w:val="30101114"/>
    <w:rsid w:val="301314AF"/>
    <w:rsid w:val="301503D5"/>
    <w:rsid w:val="30186873"/>
    <w:rsid w:val="301F4318"/>
    <w:rsid w:val="30210C58"/>
    <w:rsid w:val="302C39EA"/>
    <w:rsid w:val="30322AF7"/>
    <w:rsid w:val="303B52E6"/>
    <w:rsid w:val="303C3AE1"/>
    <w:rsid w:val="303D2710"/>
    <w:rsid w:val="303E3DF5"/>
    <w:rsid w:val="303F4E6D"/>
    <w:rsid w:val="30434C77"/>
    <w:rsid w:val="30462170"/>
    <w:rsid w:val="304C5167"/>
    <w:rsid w:val="304C57C2"/>
    <w:rsid w:val="305209FA"/>
    <w:rsid w:val="305859F8"/>
    <w:rsid w:val="305A7A90"/>
    <w:rsid w:val="305C0F31"/>
    <w:rsid w:val="30610318"/>
    <w:rsid w:val="30624C33"/>
    <w:rsid w:val="30656B6D"/>
    <w:rsid w:val="3068371D"/>
    <w:rsid w:val="306873E9"/>
    <w:rsid w:val="306C68D6"/>
    <w:rsid w:val="30730F87"/>
    <w:rsid w:val="30733E22"/>
    <w:rsid w:val="3075672C"/>
    <w:rsid w:val="307649A9"/>
    <w:rsid w:val="307D497E"/>
    <w:rsid w:val="30804B3A"/>
    <w:rsid w:val="30845892"/>
    <w:rsid w:val="3092629D"/>
    <w:rsid w:val="309C21C3"/>
    <w:rsid w:val="30A13D60"/>
    <w:rsid w:val="30A64B22"/>
    <w:rsid w:val="30A8498B"/>
    <w:rsid w:val="30AD239A"/>
    <w:rsid w:val="30B05B40"/>
    <w:rsid w:val="30B81115"/>
    <w:rsid w:val="30BF37F8"/>
    <w:rsid w:val="30C44E8C"/>
    <w:rsid w:val="30CA3BFB"/>
    <w:rsid w:val="30D04EF9"/>
    <w:rsid w:val="30D074A8"/>
    <w:rsid w:val="30DD6384"/>
    <w:rsid w:val="30E53B61"/>
    <w:rsid w:val="30E62D2B"/>
    <w:rsid w:val="30EC54CD"/>
    <w:rsid w:val="30F05D7E"/>
    <w:rsid w:val="30F16DA4"/>
    <w:rsid w:val="30F33ED4"/>
    <w:rsid w:val="30F3686A"/>
    <w:rsid w:val="30FB72DC"/>
    <w:rsid w:val="30FC2DD7"/>
    <w:rsid w:val="30FC5FFE"/>
    <w:rsid w:val="30FE15C5"/>
    <w:rsid w:val="3104044F"/>
    <w:rsid w:val="31085A8E"/>
    <w:rsid w:val="310C2662"/>
    <w:rsid w:val="310F156B"/>
    <w:rsid w:val="31102118"/>
    <w:rsid w:val="31103427"/>
    <w:rsid w:val="31161444"/>
    <w:rsid w:val="312B1FD6"/>
    <w:rsid w:val="312D63F8"/>
    <w:rsid w:val="312F6A4A"/>
    <w:rsid w:val="313138AF"/>
    <w:rsid w:val="3136777C"/>
    <w:rsid w:val="31415B55"/>
    <w:rsid w:val="31431A93"/>
    <w:rsid w:val="31446086"/>
    <w:rsid w:val="314C5BAC"/>
    <w:rsid w:val="314C7186"/>
    <w:rsid w:val="314D4A22"/>
    <w:rsid w:val="315D1413"/>
    <w:rsid w:val="315F0A34"/>
    <w:rsid w:val="31654EB2"/>
    <w:rsid w:val="316938ED"/>
    <w:rsid w:val="316D78EA"/>
    <w:rsid w:val="316F01F0"/>
    <w:rsid w:val="316F40B7"/>
    <w:rsid w:val="31731B3F"/>
    <w:rsid w:val="317718C5"/>
    <w:rsid w:val="31774B81"/>
    <w:rsid w:val="317B08DF"/>
    <w:rsid w:val="317E1FE7"/>
    <w:rsid w:val="318065E4"/>
    <w:rsid w:val="31921C76"/>
    <w:rsid w:val="31931888"/>
    <w:rsid w:val="319D6A85"/>
    <w:rsid w:val="31A24183"/>
    <w:rsid w:val="31A424BD"/>
    <w:rsid w:val="31AD1152"/>
    <w:rsid w:val="31B25793"/>
    <w:rsid w:val="31B6626B"/>
    <w:rsid w:val="31C52FD0"/>
    <w:rsid w:val="31C60708"/>
    <w:rsid w:val="31CF60C5"/>
    <w:rsid w:val="31D41A56"/>
    <w:rsid w:val="31DC0F81"/>
    <w:rsid w:val="31E016E9"/>
    <w:rsid w:val="31E9508A"/>
    <w:rsid w:val="31F0780D"/>
    <w:rsid w:val="31F21C19"/>
    <w:rsid w:val="31F7552F"/>
    <w:rsid w:val="31FD3F06"/>
    <w:rsid w:val="320124C8"/>
    <w:rsid w:val="3209473C"/>
    <w:rsid w:val="320B605D"/>
    <w:rsid w:val="320D6101"/>
    <w:rsid w:val="32103276"/>
    <w:rsid w:val="32185CB1"/>
    <w:rsid w:val="321E62EF"/>
    <w:rsid w:val="321E680D"/>
    <w:rsid w:val="32212B22"/>
    <w:rsid w:val="322601FD"/>
    <w:rsid w:val="322602E8"/>
    <w:rsid w:val="322766D2"/>
    <w:rsid w:val="322843E1"/>
    <w:rsid w:val="32290739"/>
    <w:rsid w:val="32340E3F"/>
    <w:rsid w:val="323639B1"/>
    <w:rsid w:val="32394BB3"/>
    <w:rsid w:val="323D7BB9"/>
    <w:rsid w:val="324015D5"/>
    <w:rsid w:val="32434476"/>
    <w:rsid w:val="32455508"/>
    <w:rsid w:val="32486540"/>
    <w:rsid w:val="324C54B9"/>
    <w:rsid w:val="32596D94"/>
    <w:rsid w:val="3263246C"/>
    <w:rsid w:val="32682B23"/>
    <w:rsid w:val="326A021F"/>
    <w:rsid w:val="326E15ED"/>
    <w:rsid w:val="326E63F2"/>
    <w:rsid w:val="327431DE"/>
    <w:rsid w:val="327F4C66"/>
    <w:rsid w:val="32855B2F"/>
    <w:rsid w:val="328F326D"/>
    <w:rsid w:val="329508BB"/>
    <w:rsid w:val="3296706C"/>
    <w:rsid w:val="32971AC4"/>
    <w:rsid w:val="329A0426"/>
    <w:rsid w:val="329A093A"/>
    <w:rsid w:val="329C7549"/>
    <w:rsid w:val="329E7459"/>
    <w:rsid w:val="32A75D2A"/>
    <w:rsid w:val="32B0543D"/>
    <w:rsid w:val="32B32E2A"/>
    <w:rsid w:val="32B64DA0"/>
    <w:rsid w:val="32B96AA7"/>
    <w:rsid w:val="32BF7A2E"/>
    <w:rsid w:val="32C704F4"/>
    <w:rsid w:val="32CF2722"/>
    <w:rsid w:val="32D21BE9"/>
    <w:rsid w:val="32D23FEF"/>
    <w:rsid w:val="32D43706"/>
    <w:rsid w:val="32DA0BDB"/>
    <w:rsid w:val="32DD08D6"/>
    <w:rsid w:val="32E33907"/>
    <w:rsid w:val="32EB265B"/>
    <w:rsid w:val="32EC7A89"/>
    <w:rsid w:val="32EF6346"/>
    <w:rsid w:val="32F0002B"/>
    <w:rsid w:val="32F075BF"/>
    <w:rsid w:val="32F97B8F"/>
    <w:rsid w:val="32FB6BAE"/>
    <w:rsid w:val="330035E7"/>
    <w:rsid w:val="330107E1"/>
    <w:rsid w:val="33014580"/>
    <w:rsid w:val="33014829"/>
    <w:rsid w:val="33024038"/>
    <w:rsid w:val="33025CA6"/>
    <w:rsid w:val="3303329B"/>
    <w:rsid w:val="330D236A"/>
    <w:rsid w:val="330D61AD"/>
    <w:rsid w:val="33106C04"/>
    <w:rsid w:val="331E13DE"/>
    <w:rsid w:val="3328294A"/>
    <w:rsid w:val="332A6261"/>
    <w:rsid w:val="33312FBF"/>
    <w:rsid w:val="33314D73"/>
    <w:rsid w:val="33353E13"/>
    <w:rsid w:val="3340700E"/>
    <w:rsid w:val="33422BFE"/>
    <w:rsid w:val="334C128D"/>
    <w:rsid w:val="334F3E13"/>
    <w:rsid w:val="33573CDD"/>
    <w:rsid w:val="3360667C"/>
    <w:rsid w:val="33614B28"/>
    <w:rsid w:val="33634339"/>
    <w:rsid w:val="336853E9"/>
    <w:rsid w:val="336A129F"/>
    <w:rsid w:val="336E3267"/>
    <w:rsid w:val="336F69CD"/>
    <w:rsid w:val="3373793A"/>
    <w:rsid w:val="33771502"/>
    <w:rsid w:val="33802918"/>
    <w:rsid w:val="33820F88"/>
    <w:rsid w:val="3383725B"/>
    <w:rsid w:val="3384744E"/>
    <w:rsid w:val="33856DBA"/>
    <w:rsid w:val="3387147F"/>
    <w:rsid w:val="338949A8"/>
    <w:rsid w:val="338D331C"/>
    <w:rsid w:val="338F2ABD"/>
    <w:rsid w:val="338F51E5"/>
    <w:rsid w:val="33911068"/>
    <w:rsid w:val="33937863"/>
    <w:rsid w:val="33A67056"/>
    <w:rsid w:val="33A94FC4"/>
    <w:rsid w:val="33AA7C65"/>
    <w:rsid w:val="33AB66FC"/>
    <w:rsid w:val="33AD5C35"/>
    <w:rsid w:val="33AE0354"/>
    <w:rsid w:val="33AE0D6A"/>
    <w:rsid w:val="33AE7E1B"/>
    <w:rsid w:val="33AF6238"/>
    <w:rsid w:val="33B0764B"/>
    <w:rsid w:val="33B56661"/>
    <w:rsid w:val="33B569FA"/>
    <w:rsid w:val="33B76301"/>
    <w:rsid w:val="33C215C5"/>
    <w:rsid w:val="33C30296"/>
    <w:rsid w:val="33C804CA"/>
    <w:rsid w:val="33CA3920"/>
    <w:rsid w:val="33CE5CA8"/>
    <w:rsid w:val="33D04B0A"/>
    <w:rsid w:val="33D132CA"/>
    <w:rsid w:val="33D92B18"/>
    <w:rsid w:val="33DB2D40"/>
    <w:rsid w:val="33E358FE"/>
    <w:rsid w:val="33E844C7"/>
    <w:rsid w:val="33F30C6A"/>
    <w:rsid w:val="33F35F08"/>
    <w:rsid w:val="33FA7876"/>
    <w:rsid w:val="33FF4738"/>
    <w:rsid w:val="340B357B"/>
    <w:rsid w:val="340C24C9"/>
    <w:rsid w:val="340C2534"/>
    <w:rsid w:val="34130CA9"/>
    <w:rsid w:val="34231F5F"/>
    <w:rsid w:val="3424682B"/>
    <w:rsid w:val="34265BD7"/>
    <w:rsid w:val="342A0414"/>
    <w:rsid w:val="342A352F"/>
    <w:rsid w:val="343216C7"/>
    <w:rsid w:val="343222E4"/>
    <w:rsid w:val="34363453"/>
    <w:rsid w:val="34395E9D"/>
    <w:rsid w:val="343A028F"/>
    <w:rsid w:val="3444373F"/>
    <w:rsid w:val="344844DD"/>
    <w:rsid w:val="34521236"/>
    <w:rsid w:val="34527758"/>
    <w:rsid w:val="34626DB5"/>
    <w:rsid w:val="3464350F"/>
    <w:rsid w:val="346D0DBB"/>
    <w:rsid w:val="3471292F"/>
    <w:rsid w:val="34773E8C"/>
    <w:rsid w:val="34780D64"/>
    <w:rsid w:val="34846D8C"/>
    <w:rsid w:val="34856586"/>
    <w:rsid w:val="3489652F"/>
    <w:rsid w:val="348B5A9B"/>
    <w:rsid w:val="349015E9"/>
    <w:rsid w:val="349F0CE3"/>
    <w:rsid w:val="349F755B"/>
    <w:rsid w:val="34A630E0"/>
    <w:rsid w:val="34AD6836"/>
    <w:rsid w:val="34B2550C"/>
    <w:rsid w:val="34B6797D"/>
    <w:rsid w:val="34BC6703"/>
    <w:rsid w:val="34C415AF"/>
    <w:rsid w:val="34CA2F9B"/>
    <w:rsid w:val="34CB3CE9"/>
    <w:rsid w:val="34D10A75"/>
    <w:rsid w:val="34D579AA"/>
    <w:rsid w:val="34DB5B3A"/>
    <w:rsid w:val="34DE709D"/>
    <w:rsid w:val="34DF7462"/>
    <w:rsid w:val="34E20A8E"/>
    <w:rsid w:val="34E3774D"/>
    <w:rsid w:val="34E94FC6"/>
    <w:rsid w:val="34F16839"/>
    <w:rsid w:val="34F33091"/>
    <w:rsid w:val="34F729EC"/>
    <w:rsid w:val="34FA5E7B"/>
    <w:rsid w:val="35041050"/>
    <w:rsid w:val="35070FBF"/>
    <w:rsid w:val="350A6C0B"/>
    <w:rsid w:val="35192F71"/>
    <w:rsid w:val="35257DEB"/>
    <w:rsid w:val="35275162"/>
    <w:rsid w:val="35276EC7"/>
    <w:rsid w:val="352C04EE"/>
    <w:rsid w:val="352D20A3"/>
    <w:rsid w:val="35310E4D"/>
    <w:rsid w:val="35333D4B"/>
    <w:rsid w:val="353D058E"/>
    <w:rsid w:val="353E14FB"/>
    <w:rsid w:val="353E1BDD"/>
    <w:rsid w:val="353E640E"/>
    <w:rsid w:val="353F4A1C"/>
    <w:rsid w:val="353F7D85"/>
    <w:rsid w:val="35484F39"/>
    <w:rsid w:val="354C60CB"/>
    <w:rsid w:val="354D5A14"/>
    <w:rsid w:val="35586696"/>
    <w:rsid w:val="35623F74"/>
    <w:rsid w:val="3564712D"/>
    <w:rsid w:val="35655D9D"/>
    <w:rsid w:val="35695333"/>
    <w:rsid w:val="35713F4E"/>
    <w:rsid w:val="3571615C"/>
    <w:rsid w:val="35747595"/>
    <w:rsid w:val="35791DA1"/>
    <w:rsid w:val="357A20D0"/>
    <w:rsid w:val="35850933"/>
    <w:rsid w:val="3585130E"/>
    <w:rsid w:val="3585673C"/>
    <w:rsid w:val="3589742B"/>
    <w:rsid w:val="358D722D"/>
    <w:rsid w:val="3593619D"/>
    <w:rsid w:val="35987278"/>
    <w:rsid w:val="359B31D3"/>
    <w:rsid w:val="359B3B2E"/>
    <w:rsid w:val="359E4E1E"/>
    <w:rsid w:val="35A11DA7"/>
    <w:rsid w:val="35A3487F"/>
    <w:rsid w:val="35A35640"/>
    <w:rsid w:val="35A83BE1"/>
    <w:rsid w:val="35A95F9A"/>
    <w:rsid w:val="35AA6A71"/>
    <w:rsid w:val="35AB0967"/>
    <w:rsid w:val="35AC641C"/>
    <w:rsid w:val="35AD612E"/>
    <w:rsid w:val="35AF666C"/>
    <w:rsid w:val="35B306AF"/>
    <w:rsid w:val="35BB21F9"/>
    <w:rsid w:val="35BE56C0"/>
    <w:rsid w:val="35CB1E45"/>
    <w:rsid w:val="35CB4F26"/>
    <w:rsid w:val="35CC7709"/>
    <w:rsid w:val="35CD02A4"/>
    <w:rsid w:val="35D62C0B"/>
    <w:rsid w:val="35DE6054"/>
    <w:rsid w:val="35DF4A23"/>
    <w:rsid w:val="35F767D8"/>
    <w:rsid w:val="35FC1078"/>
    <w:rsid w:val="36004C98"/>
    <w:rsid w:val="36011278"/>
    <w:rsid w:val="36042C7C"/>
    <w:rsid w:val="36045D33"/>
    <w:rsid w:val="360D7FEE"/>
    <w:rsid w:val="360E2B8C"/>
    <w:rsid w:val="361735EC"/>
    <w:rsid w:val="361A090B"/>
    <w:rsid w:val="361D1A30"/>
    <w:rsid w:val="36212DF3"/>
    <w:rsid w:val="36235105"/>
    <w:rsid w:val="36265B39"/>
    <w:rsid w:val="36273D3B"/>
    <w:rsid w:val="362906C0"/>
    <w:rsid w:val="362B129B"/>
    <w:rsid w:val="36364788"/>
    <w:rsid w:val="363D18EE"/>
    <w:rsid w:val="36484C67"/>
    <w:rsid w:val="364B3F3B"/>
    <w:rsid w:val="364B6ADC"/>
    <w:rsid w:val="366156CD"/>
    <w:rsid w:val="36623EB7"/>
    <w:rsid w:val="36652114"/>
    <w:rsid w:val="366A571E"/>
    <w:rsid w:val="366C5423"/>
    <w:rsid w:val="367643B8"/>
    <w:rsid w:val="367B30AE"/>
    <w:rsid w:val="367F7AA8"/>
    <w:rsid w:val="36840D5E"/>
    <w:rsid w:val="36844644"/>
    <w:rsid w:val="3686584C"/>
    <w:rsid w:val="368B6D42"/>
    <w:rsid w:val="368E3D1F"/>
    <w:rsid w:val="368F3F1A"/>
    <w:rsid w:val="368F62D9"/>
    <w:rsid w:val="369017DD"/>
    <w:rsid w:val="36944129"/>
    <w:rsid w:val="3697725B"/>
    <w:rsid w:val="369D128A"/>
    <w:rsid w:val="36B2422B"/>
    <w:rsid w:val="36B43CC1"/>
    <w:rsid w:val="36B52802"/>
    <w:rsid w:val="36B56E2D"/>
    <w:rsid w:val="36B643A6"/>
    <w:rsid w:val="36BC47BC"/>
    <w:rsid w:val="36BE28DD"/>
    <w:rsid w:val="36C16AC1"/>
    <w:rsid w:val="36C17ECC"/>
    <w:rsid w:val="36CB63CD"/>
    <w:rsid w:val="36CE4258"/>
    <w:rsid w:val="36CF7071"/>
    <w:rsid w:val="36D120B1"/>
    <w:rsid w:val="36D31876"/>
    <w:rsid w:val="36D63A0F"/>
    <w:rsid w:val="36D63CC4"/>
    <w:rsid w:val="36DB656D"/>
    <w:rsid w:val="36DE0343"/>
    <w:rsid w:val="36DE348B"/>
    <w:rsid w:val="36E37532"/>
    <w:rsid w:val="36F56606"/>
    <w:rsid w:val="36F765F9"/>
    <w:rsid w:val="36FA47FD"/>
    <w:rsid w:val="36FB275F"/>
    <w:rsid w:val="37041527"/>
    <w:rsid w:val="37056EB2"/>
    <w:rsid w:val="370B340C"/>
    <w:rsid w:val="371332C6"/>
    <w:rsid w:val="37134445"/>
    <w:rsid w:val="3717758A"/>
    <w:rsid w:val="37193BA4"/>
    <w:rsid w:val="371C7D9D"/>
    <w:rsid w:val="371D62FE"/>
    <w:rsid w:val="37210727"/>
    <w:rsid w:val="372706F8"/>
    <w:rsid w:val="37272608"/>
    <w:rsid w:val="3728674D"/>
    <w:rsid w:val="372868F4"/>
    <w:rsid w:val="37314647"/>
    <w:rsid w:val="373D40B3"/>
    <w:rsid w:val="37450689"/>
    <w:rsid w:val="37454280"/>
    <w:rsid w:val="3749193F"/>
    <w:rsid w:val="37565556"/>
    <w:rsid w:val="375F5C04"/>
    <w:rsid w:val="3760205E"/>
    <w:rsid w:val="376375EB"/>
    <w:rsid w:val="377267F9"/>
    <w:rsid w:val="37784C7C"/>
    <w:rsid w:val="377E495E"/>
    <w:rsid w:val="37807A30"/>
    <w:rsid w:val="37817A4D"/>
    <w:rsid w:val="37852B9D"/>
    <w:rsid w:val="378C67E2"/>
    <w:rsid w:val="379507DF"/>
    <w:rsid w:val="37953264"/>
    <w:rsid w:val="379D6009"/>
    <w:rsid w:val="379D6398"/>
    <w:rsid w:val="379D7888"/>
    <w:rsid w:val="379E5C15"/>
    <w:rsid w:val="379F2627"/>
    <w:rsid w:val="37A20B05"/>
    <w:rsid w:val="37A2554A"/>
    <w:rsid w:val="37A82431"/>
    <w:rsid w:val="37BA023A"/>
    <w:rsid w:val="37BB25E4"/>
    <w:rsid w:val="37BD5E36"/>
    <w:rsid w:val="37BE482F"/>
    <w:rsid w:val="37BE62DE"/>
    <w:rsid w:val="37BE6D37"/>
    <w:rsid w:val="37BF51C9"/>
    <w:rsid w:val="37C141DA"/>
    <w:rsid w:val="37C229A3"/>
    <w:rsid w:val="37C22C16"/>
    <w:rsid w:val="37C70C20"/>
    <w:rsid w:val="37C83EE4"/>
    <w:rsid w:val="37CE29E8"/>
    <w:rsid w:val="37D166FC"/>
    <w:rsid w:val="37D356C8"/>
    <w:rsid w:val="37D516B6"/>
    <w:rsid w:val="37D56305"/>
    <w:rsid w:val="37D91C3D"/>
    <w:rsid w:val="37D974F8"/>
    <w:rsid w:val="37DD2881"/>
    <w:rsid w:val="37E4249D"/>
    <w:rsid w:val="37E81564"/>
    <w:rsid w:val="37F06014"/>
    <w:rsid w:val="37F511EC"/>
    <w:rsid w:val="37F72D46"/>
    <w:rsid w:val="37F9317A"/>
    <w:rsid w:val="380029CC"/>
    <w:rsid w:val="38020461"/>
    <w:rsid w:val="38051F8F"/>
    <w:rsid w:val="38092109"/>
    <w:rsid w:val="380A7AD7"/>
    <w:rsid w:val="380C3EF6"/>
    <w:rsid w:val="381453E5"/>
    <w:rsid w:val="382679BA"/>
    <w:rsid w:val="38284C0B"/>
    <w:rsid w:val="382F442F"/>
    <w:rsid w:val="38310EE4"/>
    <w:rsid w:val="38337B67"/>
    <w:rsid w:val="38385C02"/>
    <w:rsid w:val="383D4BD1"/>
    <w:rsid w:val="383F6823"/>
    <w:rsid w:val="38401D4C"/>
    <w:rsid w:val="38425FD2"/>
    <w:rsid w:val="384E2EDB"/>
    <w:rsid w:val="384E3208"/>
    <w:rsid w:val="38520974"/>
    <w:rsid w:val="38561E80"/>
    <w:rsid w:val="38564039"/>
    <w:rsid w:val="385A05D6"/>
    <w:rsid w:val="385C53BB"/>
    <w:rsid w:val="38612941"/>
    <w:rsid w:val="38617AD9"/>
    <w:rsid w:val="38627173"/>
    <w:rsid w:val="3866331E"/>
    <w:rsid w:val="386F1DE3"/>
    <w:rsid w:val="38727655"/>
    <w:rsid w:val="388012AC"/>
    <w:rsid w:val="388D0A89"/>
    <w:rsid w:val="388D5C9D"/>
    <w:rsid w:val="388E0C47"/>
    <w:rsid w:val="38907CDE"/>
    <w:rsid w:val="38A05164"/>
    <w:rsid w:val="38A365EE"/>
    <w:rsid w:val="38B234B4"/>
    <w:rsid w:val="38B8491D"/>
    <w:rsid w:val="38B934CE"/>
    <w:rsid w:val="38BA0AC2"/>
    <w:rsid w:val="38BF0E25"/>
    <w:rsid w:val="38BF50E0"/>
    <w:rsid w:val="38CB7E88"/>
    <w:rsid w:val="38CC7FD3"/>
    <w:rsid w:val="38DB42FC"/>
    <w:rsid w:val="38EA1DDE"/>
    <w:rsid w:val="38EA77C8"/>
    <w:rsid w:val="38F32E76"/>
    <w:rsid w:val="38F54015"/>
    <w:rsid w:val="38F5512A"/>
    <w:rsid w:val="38F61EF0"/>
    <w:rsid w:val="38FB2318"/>
    <w:rsid w:val="38FE05CA"/>
    <w:rsid w:val="38FF6730"/>
    <w:rsid w:val="39010D0E"/>
    <w:rsid w:val="39015C1A"/>
    <w:rsid w:val="39023F94"/>
    <w:rsid w:val="3905519F"/>
    <w:rsid w:val="3908667C"/>
    <w:rsid w:val="39090BB2"/>
    <w:rsid w:val="390978BE"/>
    <w:rsid w:val="390D6008"/>
    <w:rsid w:val="39117F53"/>
    <w:rsid w:val="391364B6"/>
    <w:rsid w:val="39145DBA"/>
    <w:rsid w:val="391748E0"/>
    <w:rsid w:val="391E15FE"/>
    <w:rsid w:val="392439CE"/>
    <w:rsid w:val="39295797"/>
    <w:rsid w:val="392A05B2"/>
    <w:rsid w:val="392D1D92"/>
    <w:rsid w:val="393445A7"/>
    <w:rsid w:val="393B3100"/>
    <w:rsid w:val="393B3695"/>
    <w:rsid w:val="393F0E2C"/>
    <w:rsid w:val="39411E4E"/>
    <w:rsid w:val="39413774"/>
    <w:rsid w:val="3948041D"/>
    <w:rsid w:val="39484F82"/>
    <w:rsid w:val="39487F32"/>
    <w:rsid w:val="394D7809"/>
    <w:rsid w:val="395658D6"/>
    <w:rsid w:val="395A29E8"/>
    <w:rsid w:val="39636723"/>
    <w:rsid w:val="396D0F6E"/>
    <w:rsid w:val="39726F48"/>
    <w:rsid w:val="397F6081"/>
    <w:rsid w:val="39857A7F"/>
    <w:rsid w:val="39866BD0"/>
    <w:rsid w:val="398A6AFC"/>
    <w:rsid w:val="398D2187"/>
    <w:rsid w:val="398E5BB1"/>
    <w:rsid w:val="39946BE1"/>
    <w:rsid w:val="3995550D"/>
    <w:rsid w:val="39971A01"/>
    <w:rsid w:val="399B1254"/>
    <w:rsid w:val="399E15A7"/>
    <w:rsid w:val="399E543D"/>
    <w:rsid w:val="39AF47C5"/>
    <w:rsid w:val="39B0472F"/>
    <w:rsid w:val="39B26A7A"/>
    <w:rsid w:val="39B81B85"/>
    <w:rsid w:val="39BA3885"/>
    <w:rsid w:val="39BD12B3"/>
    <w:rsid w:val="39C258E2"/>
    <w:rsid w:val="39CA5D31"/>
    <w:rsid w:val="39D967A9"/>
    <w:rsid w:val="39DA49FA"/>
    <w:rsid w:val="39DA512C"/>
    <w:rsid w:val="39DC46AB"/>
    <w:rsid w:val="39E01F08"/>
    <w:rsid w:val="39E13E55"/>
    <w:rsid w:val="39EE5AEB"/>
    <w:rsid w:val="39EF7BA5"/>
    <w:rsid w:val="39F628F4"/>
    <w:rsid w:val="39F77E04"/>
    <w:rsid w:val="39FB1110"/>
    <w:rsid w:val="3A01263D"/>
    <w:rsid w:val="3A013C44"/>
    <w:rsid w:val="3A04048F"/>
    <w:rsid w:val="3A0A32D3"/>
    <w:rsid w:val="3A0A423D"/>
    <w:rsid w:val="3A0B64AF"/>
    <w:rsid w:val="3A115E00"/>
    <w:rsid w:val="3A170099"/>
    <w:rsid w:val="3A1E22F0"/>
    <w:rsid w:val="3A1F0F25"/>
    <w:rsid w:val="3A26035A"/>
    <w:rsid w:val="3A2C14B7"/>
    <w:rsid w:val="3A2F0330"/>
    <w:rsid w:val="3A303DE8"/>
    <w:rsid w:val="3A3353AA"/>
    <w:rsid w:val="3A37136B"/>
    <w:rsid w:val="3A383298"/>
    <w:rsid w:val="3A392BAD"/>
    <w:rsid w:val="3A39647D"/>
    <w:rsid w:val="3A3E0633"/>
    <w:rsid w:val="3A420D12"/>
    <w:rsid w:val="3A4638D8"/>
    <w:rsid w:val="3A5107EE"/>
    <w:rsid w:val="3A5E0A15"/>
    <w:rsid w:val="3A615C21"/>
    <w:rsid w:val="3A621838"/>
    <w:rsid w:val="3A6515FC"/>
    <w:rsid w:val="3A663F8D"/>
    <w:rsid w:val="3A671186"/>
    <w:rsid w:val="3A685F7E"/>
    <w:rsid w:val="3A6B487A"/>
    <w:rsid w:val="3A7B2F6E"/>
    <w:rsid w:val="3A87442E"/>
    <w:rsid w:val="3A9E2DA8"/>
    <w:rsid w:val="3A9F749A"/>
    <w:rsid w:val="3AA3147F"/>
    <w:rsid w:val="3AA510AC"/>
    <w:rsid w:val="3AA730CD"/>
    <w:rsid w:val="3AA80539"/>
    <w:rsid w:val="3AAB6DE9"/>
    <w:rsid w:val="3AB04218"/>
    <w:rsid w:val="3AC154B0"/>
    <w:rsid w:val="3AC463BE"/>
    <w:rsid w:val="3AC52236"/>
    <w:rsid w:val="3AC73C9D"/>
    <w:rsid w:val="3AC75F4C"/>
    <w:rsid w:val="3ADA1D17"/>
    <w:rsid w:val="3ADD78B0"/>
    <w:rsid w:val="3AE0677F"/>
    <w:rsid w:val="3AE36D67"/>
    <w:rsid w:val="3AE40382"/>
    <w:rsid w:val="3AE84D26"/>
    <w:rsid w:val="3AE90AEE"/>
    <w:rsid w:val="3AEE712C"/>
    <w:rsid w:val="3AFE4357"/>
    <w:rsid w:val="3AFF59EF"/>
    <w:rsid w:val="3B052CA6"/>
    <w:rsid w:val="3B100330"/>
    <w:rsid w:val="3B101341"/>
    <w:rsid w:val="3B123FD5"/>
    <w:rsid w:val="3B124B24"/>
    <w:rsid w:val="3B127395"/>
    <w:rsid w:val="3B15567E"/>
    <w:rsid w:val="3B197969"/>
    <w:rsid w:val="3B1B119B"/>
    <w:rsid w:val="3B272748"/>
    <w:rsid w:val="3B280B37"/>
    <w:rsid w:val="3B335BA3"/>
    <w:rsid w:val="3B3B75E1"/>
    <w:rsid w:val="3B3E465D"/>
    <w:rsid w:val="3B406981"/>
    <w:rsid w:val="3B451557"/>
    <w:rsid w:val="3B464C9A"/>
    <w:rsid w:val="3B4A1A86"/>
    <w:rsid w:val="3B4C20B1"/>
    <w:rsid w:val="3B4C257D"/>
    <w:rsid w:val="3B4E499B"/>
    <w:rsid w:val="3B573237"/>
    <w:rsid w:val="3B5D2945"/>
    <w:rsid w:val="3B5E4B69"/>
    <w:rsid w:val="3B6114C5"/>
    <w:rsid w:val="3B634130"/>
    <w:rsid w:val="3B661404"/>
    <w:rsid w:val="3B685525"/>
    <w:rsid w:val="3B6E7AE6"/>
    <w:rsid w:val="3B700141"/>
    <w:rsid w:val="3B714A52"/>
    <w:rsid w:val="3B73635F"/>
    <w:rsid w:val="3B7907B1"/>
    <w:rsid w:val="3B792A78"/>
    <w:rsid w:val="3B7A7BBA"/>
    <w:rsid w:val="3B7B0DBF"/>
    <w:rsid w:val="3B81305A"/>
    <w:rsid w:val="3B857FF8"/>
    <w:rsid w:val="3B8908C7"/>
    <w:rsid w:val="3B893152"/>
    <w:rsid w:val="3B8B5C6A"/>
    <w:rsid w:val="3B8D3208"/>
    <w:rsid w:val="3B924BBD"/>
    <w:rsid w:val="3B9B231D"/>
    <w:rsid w:val="3BAD2DDF"/>
    <w:rsid w:val="3BB202E4"/>
    <w:rsid w:val="3BB65EC3"/>
    <w:rsid w:val="3BB82B03"/>
    <w:rsid w:val="3BB97F0C"/>
    <w:rsid w:val="3BBA1FA5"/>
    <w:rsid w:val="3BBE4AA6"/>
    <w:rsid w:val="3BC0183A"/>
    <w:rsid w:val="3BC34E79"/>
    <w:rsid w:val="3BC3628C"/>
    <w:rsid w:val="3BC7287B"/>
    <w:rsid w:val="3BC85764"/>
    <w:rsid w:val="3BD60D4E"/>
    <w:rsid w:val="3BDF721B"/>
    <w:rsid w:val="3BE0020B"/>
    <w:rsid w:val="3BE77DFE"/>
    <w:rsid w:val="3BE9757C"/>
    <w:rsid w:val="3BEA3F2E"/>
    <w:rsid w:val="3BEC7FFD"/>
    <w:rsid w:val="3BED6FDE"/>
    <w:rsid w:val="3BF17406"/>
    <w:rsid w:val="3BF82E57"/>
    <w:rsid w:val="3BFE4940"/>
    <w:rsid w:val="3C03591F"/>
    <w:rsid w:val="3C074FED"/>
    <w:rsid w:val="3C0B3466"/>
    <w:rsid w:val="3C0D209E"/>
    <w:rsid w:val="3C0F53E4"/>
    <w:rsid w:val="3C1344F0"/>
    <w:rsid w:val="3C1C3102"/>
    <w:rsid w:val="3C20559F"/>
    <w:rsid w:val="3C254BF1"/>
    <w:rsid w:val="3C264735"/>
    <w:rsid w:val="3C2670AE"/>
    <w:rsid w:val="3C34662E"/>
    <w:rsid w:val="3C353776"/>
    <w:rsid w:val="3C35422F"/>
    <w:rsid w:val="3C38045B"/>
    <w:rsid w:val="3C3A5B96"/>
    <w:rsid w:val="3C3A7A26"/>
    <w:rsid w:val="3C3F0B33"/>
    <w:rsid w:val="3C3F1E91"/>
    <w:rsid w:val="3C427254"/>
    <w:rsid w:val="3C440F45"/>
    <w:rsid w:val="3C4427AD"/>
    <w:rsid w:val="3C450D09"/>
    <w:rsid w:val="3C4B3CFE"/>
    <w:rsid w:val="3C532EB6"/>
    <w:rsid w:val="3C557B89"/>
    <w:rsid w:val="3C5A7F50"/>
    <w:rsid w:val="3C5B3CD3"/>
    <w:rsid w:val="3C643D35"/>
    <w:rsid w:val="3C652312"/>
    <w:rsid w:val="3C6940EB"/>
    <w:rsid w:val="3C6D459F"/>
    <w:rsid w:val="3C7674C8"/>
    <w:rsid w:val="3C795E54"/>
    <w:rsid w:val="3C7A13EC"/>
    <w:rsid w:val="3C7C29E7"/>
    <w:rsid w:val="3C8341C2"/>
    <w:rsid w:val="3C86290C"/>
    <w:rsid w:val="3C871AC0"/>
    <w:rsid w:val="3C8C3065"/>
    <w:rsid w:val="3C9F0417"/>
    <w:rsid w:val="3CA15112"/>
    <w:rsid w:val="3CA5662C"/>
    <w:rsid w:val="3CA669A1"/>
    <w:rsid w:val="3CAF2C3C"/>
    <w:rsid w:val="3CB72940"/>
    <w:rsid w:val="3CB75C66"/>
    <w:rsid w:val="3CBA05FD"/>
    <w:rsid w:val="3CBC1490"/>
    <w:rsid w:val="3CC00210"/>
    <w:rsid w:val="3CCE279E"/>
    <w:rsid w:val="3CD05426"/>
    <w:rsid w:val="3CD4022A"/>
    <w:rsid w:val="3CD76528"/>
    <w:rsid w:val="3CDB58F1"/>
    <w:rsid w:val="3CDF0E20"/>
    <w:rsid w:val="3CE33F03"/>
    <w:rsid w:val="3CE84D43"/>
    <w:rsid w:val="3CEE2766"/>
    <w:rsid w:val="3CF1772E"/>
    <w:rsid w:val="3CF93711"/>
    <w:rsid w:val="3CFF1606"/>
    <w:rsid w:val="3D0042D4"/>
    <w:rsid w:val="3D035A11"/>
    <w:rsid w:val="3D0A223A"/>
    <w:rsid w:val="3D107C15"/>
    <w:rsid w:val="3D1913A5"/>
    <w:rsid w:val="3D1A49DB"/>
    <w:rsid w:val="3D1A6B8C"/>
    <w:rsid w:val="3D1C1B26"/>
    <w:rsid w:val="3D282C3F"/>
    <w:rsid w:val="3D2E3C99"/>
    <w:rsid w:val="3D452BCB"/>
    <w:rsid w:val="3D472FB1"/>
    <w:rsid w:val="3D4947DC"/>
    <w:rsid w:val="3D503553"/>
    <w:rsid w:val="3D554C6C"/>
    <w:rsid w:val="3D614B2A"/>
    <w:rsid w:val="3D631B82"/>
    <w:rsid w:val="3D654F61"/>
    <w:rsid w:val="3D7333E8"/>
    <w:rsid w:val="3D797363"/>
    <w:rsid w:val="3D810895"/>
    <w:rsid w:val="3D822726"/>
    <w:rsid w:val="3D95688F"/>
    <w:rsid w:val="3D9C521C"/>
    <w:rsid w:val="3DA33F06"/>
    <w:rsid w:val="3DA42208"/>
    <w:rsid w:val="3DA632AF"/>
    <w:rsid w:val="3DAD71EE"/>
    <w:rsid w:val="3DAE609C"/>
    <w:rsid w:val="3DB22113"/>
    <w:rsid w:val="3DBD363E"/>
    <w:rsid w:val="3DC94DC4"/>
    <w:rsid w:val="3DD2312C"/>
    <w:rsid w:val="3DD76A3D"/>
    <w:rsid w:val="3DDC0015"/>
    <w:rsid w:val="3DE306B8"/>
    <w:rsid w:val="3DE74C86"/>
    <w:rsid w:val="3E0255D3"/>
    <w:rsid w:val="3E083778"/>
    <w:rsid w:val="3E096555"/>
    <w:rsid w:val="3E0A13E5"/>
    <w:rsid w:val="3E0F774B"/>
    <w:rsid w:val="3E1677D3"/>
    <w:rsid w:val="3E1C439D"/>
    <w:rsid w:val="3E1E2A0C"/>
    <w:rsid w:val="3E1F1F09"/>
    <w:rsid w:val="3E2536F8"/>
    <w:rsid w:val="3E255816"/>
    <w:rsid w:val="3E2D19E9"/>
    <w:rsid w:val="3E2F02BB"/>
    <w:rsid w:val="3E3053BC"/>
    <w:rsid w:val="3E311365"/>
    <w:rsid w:val="3E351217"/>
    <w:rsid w:val="3E35416D"/>
    <w:rsid w:val="3E364A3B"/>
    <w:rsid w:val="3E3B422E"/>
    <w:rsid w:val="3E3E1A6D"/>
    <w:rsid w:val="3E3F40D2"/>
    <w:rsid w:val="3E411EFD"/>
    <w:rsid w:val="3E440D5D"/>
    <w:rsid w:val="3E550364"/>
    <w:rsid w:val="3E571EB4"/>
    <w:rsid w:val="3E583A86"/>
    <w:rsid w:val="3E5973E2"/>
    <w:rsid w:val="3E5D4C18"/>
    <w:rsid w:val="3E5F7131"/>
    <w:rsid w:val="3E67565C"/>
    <w:rsid w:val="3E6D31E1"/>
    <w:rsid w:val="3E6D56E0"/>
    <w:rsid w:val="3E6F2E0D"/>
    <w:rsid w:val="3E7171B7"/>
    <w:rsid w:val="3E7437C2"/>
    <w:rsid w:val="3E775390"/>
    <w:rsid w:val="3E8166C2"/>
    <w:rsid w:val="3E891D52"/>
    <w:rsid w:val="3E8B367E"/>
    <w:rsid w:val="3E8C29AC"/>
    <w:rsid w:val="3E934BEE"/>
    <w:rsid w:val="3E951E24"/>
    <w:rsid w:val="3E98437C"/>
    <w:rsid w:val="3E992753"/>
    <w:rsid w:val="3E9E1D45"/>
    <w:rsid w:val="3E9F45E7"/>
    <w:rsid w:val="3EA11ABE"/>
    <w:rsid w:val="3EA266BD"/>
    <w:rsid w:val="3EA85127"/>
    <w:rsid w:val="3EA9457B"/>
    <w:rsid w:val="3EB3102C"/>
    <w:rsid w:val="3EB664E6"/>
    <w:rsid w:val="3EB74FC8"/>
    <w:rsid w:val="3EBF4AF3"/>
    <w:rsid w:val="3ECB5B5A"/>
    <w:rsid w:val="3ECC11D2"/>
    <w:rsid w:val="3EDC3C97"/>
    <w:rsid w:val="3EF16A67"/>
    <w:rsid w:val="3EF70EF7"/>
    <w:rsid w:val="3EFB690F"/>
    <w:rsid w:val="3F0126CE"/>
    <w:rsid w:val="3F04378C"/>
    <w:rsid w:val="3F04564B"/>
    <w:rsid w:val="3F081E4A"/>
    <w:rsid w:val="3F0869C1"/>
    <w:rsid w:val="3F2B6D4C"/>
    <w:rsid w:val="3F2B734C"/>
    <w:rsid w:val="3F310793"/>
    <w:rsid w:val="3F3326E2"/>
    <w:rsid w:val="3F393B60"/>
    <w:rsid w:val="3F3A71C4"/>
    <w:rsid w:val="3F406B8A"/>
    <w:rsid w:val="3F465DC7"/>
    <w:rsid w:val="3F4823EC"/>
    <w:rsid w:val="3F485B5A"/>
    <w:rsid w:val="3F4A3878"/>
    <w:rsid w:val="3F4B0C0A"/>
    <w:rsid w:val="3F4D2BDB"/>
    <w:rsid w:val="3F4D4CF6"/>
    <w:rsid w:val="3F4F40BB"/>
    <w:rsid w:val="3F501E57"/>
    <w:rsid w:val="3F503361"/>
    <w:rsid w:val="3F5A47AF"/>
    <w:rsid w:val="3F5F496E"/>
    <w:rsid w:val="3F625F71"/>
    <w:rsid w:val="3F7A7130"/>
    <w:rsid w:val="3F7B6680"/>
    <w:rsid w:val="3F7C62FA"/>
    <w:rsid w:val="3F831DCF"/>
    <w:rsid w:val="3F88706B"/>
    <w:rsid w:val="3F8F79AA"/>
    <w:rsid w:val="3F902956"/>
    <w:rsid w:val="3F97596C"/>
    <w:rsid w:val="3F9D193B"/>
    <w:rsid w:val="3FA719EC"/>
    <w:rsid w:val="3FA71F84"/>
    <w:rsid w:val="3FA84616"/>
    <w:rsid w:val="3FAC140D"/>
    <w:rsid w:val="3FAF25C8"/>
    <w:rsid w:val="3FB11FE3"/>
    <w:rsid w:val="3FB23EFE"/>
    <w:rsid w:val="3FB307E1"/>
    <w:rsid w:val="3FBE44E2"/>
    <w:rsid w:val="3FC11A4A"/>
    <w:rsid w:val="3FC5399A"/>
    <w:rsid w:val="3FC56A7F"/>
    <w:rsid w:val="3FC56B58"/>
    <w:rsid w:val="3FC84BB7"/>
    <w:rsid w:val="3FD8653F"/>
    <w:rsid w:val="3FDB364A"/>
    <w:rsid w:val="3FDD1CFC"/>
    <w:rsid w:val="3FE35668"/>
    <w:rsid w:val="3FE87F8F"/>
    <w:rsid w:val="3FEB3356"/>
    <w:rsid w:val="3FEB7DEA"/>
    <w:rsid w:val="3FEE00B6"/>
    <w:rsid w:val="3FF13ADC"/>
    <w:rsid w:val="3FF41089"/>
    <w:rsid w:val="3FF76F6E"/>
    <w:rsid w:val="3FF929EA"/>
    <w:rsid w:val="400363BD"/>
    <w:rsid w:val="401736F5"/>
    <w:rsid w:val="40181CE0"/>
    <w:rsid w:val="401F34C3"/>
    <w:rsid w:val="40246FCD"/>
    <w:rsid w:val="40271560"/>
    <w:rsid w:val="402A71D6"/>
    <w:rsid w:val="402D3F4D"/>
    <w:rsid w:val="403617AF"/>
    <w:rsid w:val="403668FD"/>
    <w:rsid w:val="403A614C"/>
    <w:rsid w:val="403B696C"/>
    <w:rsid w:val="403D2035"/>
    <w:rsid w:val="403E00D4"/>
    <w:rsid w:val="4048001D"/>
    <w:rsid w:val="40487187"/>
    <w:rsid w:val="404C4557"/>
    <w:rsid w:val="404D4171"/>
    <w:rsid w:val="40533241"/>
    <w:rsid w:val="405742E4"/>
    <w:rsid w:val="405A36BE"/>
    <w:rsid w:val="405E344B"/>
    <w:rsid w:val="40601607"/>
    <w:rsid w:val="40613BDA"/>
    <w:rsid w:val="40693121"/>
    <w:rsid w:val="406A7CD2"/>
    <w:rsid w:val="406C74E3"/>
    <w:rsid w:val="40737D4F"/>
    <w:rsid w:val="407636D4"/>
    <w:rsid w:val="4084777C"/>
    <w:rsid w:val="408C0B7A"/>
    <w:rsid w:val="408D171F"/>
    <w:rsid w:val="409339B3"/>
    <w:rsid w:val="409A03AD"/>
    <w:rsid w:val="409A227A"/>
    <w:rsid w:val="409E24DA"/>
    <w:rsid w:val="409E5320"/>
    <w:rsid w:val="409E645F"/>
    <w:rsid w:val="409F716C"/>
    <w:rsid w:val="40A44F18"/>
    <w:rsid w:val="40AA3535"/>
    <w:rsid w:val="40AD6C18"/>
    <w:rsid w:val="40AE61D1"/>
    <w:rsid w:val="40B00666"/>
    <w:rsid w:val="40B57AFB"/>
    <w:rsid w:val="40B91C9A"/>
    <w:rsid w:val="40BB457A"/>
    <w:rsid w:val="40BD246B"/>
    <w:rsid w:val="40BE60CD"/>
    <w:rsid w:val="40D61210"/>
    <w:rsid w:val="40DF3281"/>
    <w:rsid w:val="40E50973"/>
    <w:rsid w:val="40EA64BF"/>
    <w:rsid w:val="40EB265C"/>
    <w:rsid w:val="40EF0AD0"/>
    <w:rsid w:val="40EF5241"/>
    <w:rsid w:val="40F03A33"/>
    <w:rsid w:val="40F86E95"/>
    <w:rsid w:val="40FA349E"/>
    <w:rsid w:val="4104263D"/>
    <w:rsid w:val="41055BEC"/>
    <w:rsid w:val="41062361"/>
    <w:rsid w:val="410A6F5A"/>
    <w:rsid w:val="41167822"/>
    <w:rsid w:val="41211260"/>
    <w:rsid w:val="41230260"/>
    <w:rsid w:val="4124164A"/>
    <w:rsid w:val="412B2876"/>
    <w:rsid w:val="41301597"/>
    <w:rsid w:val="41322968"/>
    <w:rsid w:val="4134168F"/>
    <w:rsid w:val="413D73E3"/>
    <w:rsid w:val="41427D4E"/>
    <w:rsid w:val="414755A5"/>
    <w:rsid w:val="414771DB"/>
    <w:rsid w:val="415221A0"/>
    <w:rsid w:val="41561412"/>
    <w:rsid w:val="415B5E13"/>
    <w:rsid w:val="415C3F0D"/>
    <w:rsid w:val="415C7A95"/>
    <w:rsid w:val="415E46C7"/>
    <w:rsid w:val="4161497A"/>
    <w:rsid w:val="41636E5C"/>
    <w:rsid w:val="41645A90"/>
    <w:rsid w:val="416A0E81"/>
    <w:rsid w:val="416A528A"/>
    <w:rsid w:val="416C2677"/>
    <w:rsid w:val="417352E5"/>
    <w:rsid w:val="417639EE"/>
    <w:rsid w:val="417B413C"/>
    <w:rsid w:val="417D5B35"/>
    <w:rsid w:val="417E5335"/>
    <w:rsid w:val="417F67DC"/>
    <w:rsid w:val="41854196"/>
    <w:rsid w:val="419F336C"/>
    <w:rsid w:val="41A35982"/>
    <w:rsid w:val="41AB4032"/>
    <w:rsid w:val="41AD1BA3"/>
    <w:rsid w:val="41B34C22"/>
    <w:rsid w:val="41B63C7A"/>
    <w:rsid w:val="41C207B3"/>
    <w:rsid w:val="41CB37BC"/>
    <w:rsid w:val="41D03824"/>
    <w:rsid w:val="41D62C7B"/>
    <w:rsid w:val="41D67857"/>
    <w:rsid w:val="41E13758"/>
    <w:rsid w:val="41E660CA"/>
    <w:rsid w:val="41EC3083"/>
    <w:rsid w:val="41F16EDE"/>
    <w:rsid w:val="41F20E65"/>
    <w:rsid w:val="41FA40C9"/>
    <w:rsid w:val="41FB775F"/>
    <w:rsid w:val="420237B0"/>
    <w:rsid w:val="420549EA"/>
    <w:rsid w:val="42060725"/>
    <w:rsid w:val="420A3CF5"/>
    <w:rsid w:val="420F5284"/>
    <w:rsid w:val="42124C6A"/>
    <w:rsid w:val="421709C0"/>
    <w:rsid w:val="421A5EA1"/>
    <w:rsid w:val="4220200F"/>
    <w:rsid w:val="422152F8"/>
    <w:rsid w:val="422845C5"/>
    <w:rsid w:val="422864DC"/>
    <w:rsid w:val="422F45D3"/>
    <w:rsid w:val="4233765B"/>
    <w:rsid w:val="42343C41"/>
    <w:rsid w:val="423A49C0"/>
    <w:rsid w:val="423E431F"/>
    <w:rsid w:val="42441A4E"/>
    <w:rsid w:val="424612A9"/>
    <w:rsid w:val="42534806"/>
    <w:rsid w:val="425479FF"/>
    <w:rsid w:val="4255361F"/>
    <w:rsid w:val="42606351"/>
    <w:rsid w:val="426C3F76"/>
    <w:rsid w:val="42713565"/>
    <w:rsid w:val="427A364C"/>
    <w:rsid w:val="42811969"/>
    <w:rsid w:val="42967CB9"/>
    <w:rsid w:val="429C7AFF"/>
    <w:rsid w:val="42A90999"/>
    <w:rsid w:val="42AB4A3D"/>
    <w:rsid w:val="42AE76ED"/>
    <w:rsid w:val="42BA7F35"/>
    <w:rsid w:val="42BF0A4D"/>
    <w:rsid w:val="42CD300E"/>
    <w:rsid w:val="42D277D3"/>
    <w:rsid w:val="42D435DD"/>
    <w:rsid w:val="42D61209"/>
    <w:rsid w:val="42D741F4"/>
    <w:rsid w:val="42E107AD"/>
    <w:rsid w:val="42E968F5"/>
    <w:rsid w:val="42EA048F"/>
    <w:rsid w:val="42F67833"/>
    <w:rsid w:val="42FC7F61"/>
    <w:rsid w:val="4301310D"/>
    <w:rsid w:val="43016AFC"/>
    <w:rsid w:val="43024231"/>
    <w:rsid w:val="430439A3"/>
    <w:rsid w:val="4305537B"/>
    <w:rsid w:val="43086804"/>
    <w:rsid w:val="4309220A"/>
    <w:rsid w:val="430B3F26"/>
    <w:rsid w:val="430E28C9"/>
    <w:rsid w:val="430E3136"/>
    <w:rsid w:val="43151B6E"/>
    <w:rsid w:val="43192D67"/>
    <w:rsid w:val="431B51D4"/>
    <w:rsid w:val="432051C6"/>
    <w:rsid w:val="43207E91"/>
    <w:rsid w:val="432141C9"/>
    <w:rsid w:val="432178A9"/>
    <w:rsid w:val="43224E7A"/>
    <w:rsid w:val="43226CE2"/>
    <w:rsid w:val="43282A52"/>
    <w:rsid w:val="43297ACF"/>
    <w:rsid w:val="432A5D2A"/>
    <w:rsid w:val="432C5303"/>
    <w:rsid w:val="433002D0"/>
    <w:rsid w:val="433913BA"/>
    <w:rsid w:val="433C5B32"/>
    <w:rsid w:val="433E7DEA"/>
    <w:rsid w:val="433F44D4"/>
    <w:rsid w:val="434737FD"/>
    <w:rsid w:val="43492AFB"/>
    <w:rsid w:val="434C41A8"/>
    <w:rsid w:val="43500ABB"/>
    <w:rsid w:val="4352573A"/>
    <w:rsid w:val="43560FEB"/>
    <w:rsid w:val="43583A29"/>
    <w:rsid w:val="435B1A24"/>
    <w:rsid w:val="435B3F52"/>
    <w:rsid w:val="435E67D2"/>
    <w:rsid w:val="43612AC9"/>
    <w:rsid w:val="436660FB"/>
    <w:rsid w:val="436812FE"/>
    <w:rsid w:val="436C351A"/>
    <w:rsid w:val="43707B69"/>
    <w:rsid w:val="43707FBC"/>
    <w:rsid w:val="4373557B"/>
    <w:rsid w:val="43742F73"/>
    <w:rsid w:val="43763038"/>
    <w:rsid w:val="43782008"/>
    <w:rsid w:val="437E6CD9"/>
    <w:rsid w:val="437F2F6D"/>
    <w:rsid w:val="437F530B"/>
    <w:rsid w:val="43867445"/>
    <w:rsid w:val="439062AE"/>
    <w:rsid w:val="43961460"/>
    <w:rsid w:val="43A047DA"/>
    <w:rsid w:val="43A04973"/>
    <w:rsid w:val="43A92514"/>
    <w:rsid w:val="43AF27D9"/>
    <w:rsid w:val="43B92CB4"/>
    <w:rsid w:val="43B93E2D"/>
    <w:rsid w:val="43C10663"/>
    <w:rsid w:val="43CA0FE6"/>
    <w:rsid w:val="43CA40DB"/>
    <w:rsid w:val="43CC6A9E"/>
    <w:rsid w:val="43D06933"/>
    <w:rsid w:val="43D60C50"/>
    <w:rsid w:val="43D83B48"/>
    <w:rsid w:val="43D9603C"/>
    <w:rsid w:val="43DC27E6"/>
    <w:rsid w:val="43E01591"/>
    <w:rsid w:val="43E4160D"/>
    <w:rsid w:val="43E72FD3"/>
    <w:rsid w:val="43EA399A"/>
    <w:rsid w:val="43EA3FBA"/>
    <w:rsid w:val="43F8297F"/>
    <w:rsid w:val="43FA2BC5"/>
    <w:rsid w:val="43FB7907"/>
    <w:rsid w:val="43FD2E3A"/>
    <w:rsid w:val="43FD6BEB"/>
    <w:rsid w:val="44081109"/>
    <w:rsid w:val="440E40A4"/>
    <w:rsid w:val="4411050E"/>
    <w:rsid w:val="442C2DF2"/>
    <w:rsid w:val="44374379"/>
    <w:rsid w:val="44376F9B"/>
    <w:rsid w:val="44382713"/>
    <w:rsid w:val="443B79AE"/>
    <w:rsid w:val="444235FA"/>
    <w:rsid w:val="44433D0B"/>
    <w:rsid w:val="444340A5"/>
    <w:rsid w:val="44453D5A"/>
    <w:rsid w:val="444612BD"/>
    <w:rsid w:val="444C20B4"/>
    <w:rsid w:val="444D49F4"/>
    <w:rsid w:val="44500D83"/>
    <w:rsid w:val="4458511E"/>
    <w:rsid w:val="44623731"/>
    <w:rsid w:val="4462782E"/>
    <w:rsid w:val="446E2A8B"/>
    <w:rsid w:val="44787634"/>
    <w:rsid w:val="447C29BF"/>
    <w:rsid w:val="447E1F0A"/>
    <w:rsid w:val="448C4ECB"/>
    <w:rsid w:val="448E6E9F"/>
    <w:rsid w:val="448F0734"/>
    <w:rsid w:val="44953A35"/>
    <w:rsid w:val="44974056"/>
    <w:rsid w:val="44976852"/>
    <w:rsid w:val="449F442A"/>
    <w:rsid w:val="44A12A22"/>
    <w:rsid w:val="44A14EC4"/>
    <w:rsid w:val="44A55568"/>
    <w:rsid w:val="44A97948"/>
    <w:rsid w:val="44AB5201"/>
    <w:rsid w:val="44AF3F5B"/>
    <w:rsid w:val="44BA1AE4"/>
    <w:rsid w:val="44C316C1"/>
    <w:rsid w:val="44CB5BFD"/>
    <w:rsid w:val="44D22132"/>
    <w:rsid w:val="44D515DB"/>
    <w:rsid w:val="44D52C42"/>
    <w:rsid w:val="44D937BF"/>
    <w:rsid w:val="44E518EE"/>
    <w:rsid w:val="44E72360"/>
    <w:rsid w:val="44EA1D16"/>
    <w:rsid w:val="44EC6FA0"/>
    <w:rsid w:val="44EC7247"/>
    <w:rsid w:val="44F74706"/>
    <w:rsid w:val="44F81C7C"/>
    <w:rsid w:val="44FA2E8B"/>
    <w:rsid w:val="4509604D"/>
    <w:rsid w:val="450D070C"/>
    <w:rsid w:val="451340B3"/>
    <w:rsid w:val="451703AE"/>
    <w:rsid w:val="45214FA7"/>
    <w:rsid w:val="4527182D"/>
    <w:rsid w:val="452937E0"/>
    <w:rsid w:val="452F7089"/>
    <w:rsid w:val="45311360"/>
    <w:rsid w:val="45334DAF"/>
    <w:rsid w:val="45354EDA"/>
    <w:rsid w:val="453A5060"/>
    <w:rsid w:val="454039D8"/>
    <w:rsid w:val="45415670"/>
    <w:rsid w:val="45456DC0"/>
    <w:rsid w:val="454A681C"/>
    <w:rsid w:val="454D30FF"/>
    <w:rsid w:val="45520E16"/>
    <w:rsid w:val="455365FB"/>
    <w:rsid w:val="45551889"/>
    <w:rsid w:val="45560D41"/>
    <w:rsid w:val="45582AE4"/>
    <w:rsid w:val="4559757B"/>
    <w:rsid w:val="455C7743"/>
    <w:rsid w:val="455D7417"/>
    <w:rsid w:val="45637507"/>
    <w:rsid w:val="45694D0E"/>
    <w:rsid w:val="456B74FC"/>
    <w:rsid w:val="45742039"/>
    <w:rsid w:val="4576057B"/>
    <w:rsid w:val="457A26B6"/>
    <w:rsid w:val="457B23EA"/>
    <w:rsid w:val="457B2F86"/>
    <w:rsid w:val="45807B9C"/>
    <w:rsid w:val="4584719B"/>
    <w:rsid w:val="4586685F"/>
    <w:rsid w:val="45894AD4"/>
    <w:rsid w:val="458B6842"/>
    <w:rsid w:val="459737B6"/>
    <w:rsid w:val="459D33D8"/>
    <w:rsid w:val="459E3D37"/>
    <w:rsid w:val="459E5E3C"/>
    <w:rsid w:val="45A44E6D"/>
    <w:rsid w:val="45AB5446"/>
    <w:rsid w:val="45AB6DDA"/>
    <w:rsid w:val="45AC062F"/>
    <w:rsid w:val="45AD5A11"/>
    <w:rsid w:val="45AE26E4"/>
    <w:rsid w:val="45B871D2"/>
    <w:rsid w:val="45BA54F1"/>
    <w:rsid w:val="45BC58A1"/>
    <w:rsid w:val="45C148D5"/>
    <w:rsid w:val="45C82A17"/>
    <w:rsid w:val="45D1262A"/>
    <w:rsid w:val="45D34575"/>
    <w:rsid w:val="45D61F09"/>
    <w:rsid w:val="45D7406A"/>
    <w:rsid w:val="45D91A03"/>
    <w:rsid w:val="45E2649D"/>
    <w:rsid w:val="45E57D60"/>
    <w:rsid w:val="45EC1BD7"/>
    <w:rsid w:val="45F33E99"/>
    <w:rsid w:val="45FD14AB"/>
    <w:rsid w:val="46160A4B"/>
    <w:rsid w:val="46192964"/>
    <w:rsid w:val="46201A5B"/>
    <w:rsid w:val="462065C8"/>
    <w:rsid w:val="462C3D70"/>
    <w:rsid w:val="462D6C4F"/>
    <w:rsid w:val="462E1CEA"/>
    <w:rsid w:val="46367016"/>
    <w:rsid w:val="463A0658"/>
    <w:rsid w:val="463A1086"/>
    <w:rsid w:val="46442D3E"/>
    <w:rsid w:val="464A059A"/>
    <w:rsid w:val="464A6760"/>
    <w:rsid w:val="464E4DCA"/>
    <w:rsid w:val="46545C4B"/>
    <w:rsid w:val="465A71BC"/>
    <w:rsid w:val="465B3978"/>
    <w:rsid w:val="46601C21"/>
    <w:rsid w:val="46624E8C"/>
    <w:rsid w:val="46647217"/>
    <w:rsid w:val="46732046"/>
    <w:rsid w:val="46804BF2"/>
    <w:rsid w:val="46812520"/>
    <w:rsid w:val="468128BA"/>
    <w:rsid w:val="468213B0"/>
    <w:rsid w:val="46864072"/>
    <w:rsid w:val="468A042D"/>
    <w:rsid w:val="468A32BF"/>
    <w:rsid w:val="468C29EB"/>
    <w:rsid w:val="46920321"/>
    <w:rsid w:val="46934D4A"/>
    <w:rsid w:val="46954C0F"/>
    <w:rsid w:val="469A10EA"/>
    <w:rsid w:val="46AB2992"/>
    <w:rsid w:val="46AD71B4"/>
    <w:rsid w:val="46AE122D"/>
    <w:rsid w:val="46AE1BDD"/>
    <w:rsid w:val="46AE53C4"/>
    <w:rsid w:val="46B23ADA"/>
    <w:rsid w:val="46B25E30"/>
    <w:rsid w:val="46B4414D"/>
    <w:rsid w:val="46BD38D4"/>
    <w:rsid w:val="46C20F6C"/>
    <w:rsid w:val="46C7582F"/>
    <w:rsid w:val="46D37ABB"/>
    <w:rsid w:val="46D45194"/>
    <w:rsid w:val="46DA517D"/>
    <w:rsid w:val="46DC1B71"/>
    <w:rsid w:val="46DE79E6"/>
    <w:rsid w:val="46E54F8B"/>
    <w:rsid w:val="46E83517"/>
    <w:rsid w:val="46F45386"/>
    <w:rsid w:val="46F61485"/>
    <w:rsid w:val="46F863D0"/>
    <w:rsid w:val="46F877DE"/>
    <w:rsid w:val="46FD2C63"/>
    <w:rsid w:val="46FF3866"/>
    <w:rsid w:val="470622A9"/>
    <w:rsid w:val="470A728D"/>
    <w:rsid w:val="470C4B54"/>
    <w:rsid w:val="470D3DA3"/>
    <w:rsid w:val="4710087D"/>
    <w:rsid w:val="471B5D0B"/>
    <w:rsid w:val="47240900"/>
    <w:rsid w:val="472A3481"/>
    <w:rsid w:val="47300024"/>
    <w:rsid w:val="473772A1"/>
    <w:rsid w:val="473D793D"/>
    <w:rsid w:val="474401A0"/>
    <w:rsid w:val="47440567"/>
    <w:rsid w:val="474A77D4"/>
    <w:rsid w:val="474B5D9B"/>
    <w:rsid w:val="47504A40"/>
    <w:rsid w:val="47512F2C"/>
    <w:rsid w:val="47565829"/>
    <w:rsid w:val="4758586C"/>
    <w:rsid w:val="476647F2"/>
    <w:rsid w:val="476C740A"/>
    <w:rsid w:val="476E674E"/>
    <w:rsid w:val="476F0B8E"/>
    <w:rsid w:val="47935D84"/>
    <w:rsid w:val="479973DA"/>
    <w:rsid w:val="47A376F4"/>
    <w:rsid w:val="47A63F0D"/>
    <w:rsid w:val="47A8566E"/>
    <w:rsid w:val="47AC4409"/>
    <w:rsid w:val="47AF5332"/>
    <w:rsid w:val="47B207E9"/>
    <w:rsid w:val="47B4595D"/>
    <w:rsid w:val="47B612EB"/>
    <w:rsid w:val="47B94A7B"/>
    <w:rsid w:val="47BD65E5"/>
    <w:rsid w:val="47BE7647"/>
    <w:rsid w:val="47C82485"/>
    <w:rsid w:val="47D57B3F"/>
    <w:rsid w:val="47DD1CAF"/>
    <w:rsid w:val="47E60B4E"/>
    <w:rsid w:val="47F0723A"/>
    <w:rsid w:val="47F125F8"/>
    <w:rsid w:val="47FB52E2"/>
    <w:rsid w:val="48034DC5"/>
    <w:rsid w:val="48040697"/>
    <w:rsid w:val="480974B4"/>
    <w:rsid w:val="480B43F9"/>
    <w:rsid w:val="48175BD3"/>
    <w:rsid w:val="481C6A26"/>
    <w:rsid w:val="48203B3B"/>
    <w:rsid w:val="482664BE"/>
    <w:rsid w:val="482856E1"/>
    <w:rsid w:val="482D3817"/>
    <w:rsid w:val="483042B2"/>
    <w:rsid w:val="483153E5"/>
    <w:rsid w:val="483B5D92"/>
    <w:rsid w:val="4840292D"/>
    <w:rsid w:val="4845653D"/>
    <w:rsid w:val="484628D4"/>
    <w:rsid w:val="485B76B8"/>
    <w:rsid w:val="48657057"/>
    <w:rsid w:val="486B0609"/>
    <w:rsid w:val="486D1F6A"/>
    <w:rsid w:val="487A7EBB"/>
    <w:rsid w:val="487F5519"/>
    <w:rsid w:val="4881391B"/>
    <w:rsid w:val="48891A12"/>
    <w:rsid w:val="488A348A"/>
    <w:rsid w:val="488C1065"/>
    <w:rsid w:val="48943EEC"/>
    <w:rsid w:val="48956B90"/>
    <w:rsid w:val="489E4858"/>
    <w:rsid w:val="489E7141"/>
    <w:rsid w:val="48A12EAC"/>
    <w:rsid w:val="48B01C05"/>
    <w:rsid w:val="48B96F12"/>
    <w:rsid w:val="48BB6247"/>
    <w:rsid w:val="48BC31CD"/>
    <w:rsid w:val="48C36B78"/>
    <w:rsid w:val="48C547DB"/>
    <w:rsid w:val="48C67351"/>
    <w:rsid w:val="48CC189D"/>
    <w:rsid w:val="48D00475"/>
    <w:rsid w:val="48D05956"/>
    <w:rsid w:val="48D373F5"/>
    <w:rsid w:val="48E20DD3"/>
    <w:rsid w:val="48E56C00"/>
    <w:rsid w:val="48EB5468"/>
    <w:rsid w:val="48EB7CC7"/>
    <w:rsid w:val="48EC65A8"/>
    <w:rsid w:val="48F11083"/>
    <w:rsid w:val="48F30196"/>
    <w:rsid w:val="48F4158D"/>
    <w:rsid w:val="48F45124"/>
    <w:rsid w:val="48F63C18"/>
    <w:rsid w:val="48FA4B24"/>
    <w:rsid w:val="48FE1C1E"/>
    <w:rsid w:val="490569AF"/>
    <w:rsid w:val="490836CD"/>
    <w:rsid w:val="49091135"/>
    <w:rsid w:val="490A75A4"/>
    <w:rsid w:val="490B3DF3"/>
    <w:rsid w:val="490E7ECB"/>
    <w:rsid w:val="49112B9E"/>
    <w:rsid w:val="4911512C"/>
    <w:rsid w:val="49115A5C"/>
    <w:rsid w:val="49163DD9"/>
    <w:rsid w:val="4917404E"/>
    <w:rsid w:val="49190EB8"/>
    <w:rsid w:val="49203A7C"/>
    <w:rsid w:val="492B5DFF"/>
    <w:rsid w:val="492E301A"/>
    <w:rsid w:val="4934340F"/>
    <w:rsid w:val="4936325C"/>
    <w:rsid w:val="49383638"/>
    <w:rsid w:val="493C6F7E"/>
    <w:rsid w:val="49405FE3"/>
    <w:rsid w:val="494729E2"/>
    <w:rsid w:val="494C2650"/>
    <w:rsid w:val="495B422F"/>
    <w:rsid w:val="495F5F60"/>
    <w:rsid w:val="496A4FC9"/>
    <w:rsid w:val="496D0A61"/>
    <w:rsid w:val="497029CD"/>
    <w:rsid w:val="49774DBB"/>
    <w:rsid w:val="49783F89"/>
    <w:rsid w:val="4979070C"/>
    <w:rsid w:val="497A0DFF"/>
    <w:rsid w:val="497D7B9E"/>
    <w:rsid w:val="49814DD6"/>
    <w:rsid w:val="49890216"/>
    <w:rsid w:val="498D26F4"/>
    <w:rsid w:val="49921073"/>
    <w:rsid w:val="49923C2A"/>
    <w:rsid w:val="499364E5"/>
    <w:rsid w:val="49952649"/>
    <w:rsid w:val="49952D13"/>
    <w:rsid w:val="499963BE"/>
    <w:rsid w:val="499F48AD"/>
    <w:rsid w:val="49A565A4"/>
    <w:rsid w:val="49B402FF"/>
    <w:rsid w:val="49B608C9"/>
    <w:rsid w:val="49B72D2E"/>
    <w:rsid w:val="49C96804"/>
    <w:rsid w:val="49CA148A"/>
    <w:rsid w:val="49CB3C33"/>
    <w:rsid w:val="49CB759D"/>
    <w:rsid w:val="49D14909"/>
    <w:rsid w:val="49E132EC"/>
    <w:rsid w:val="49E160D5"/>
    <w:rsid w:val="49E513BF"/>
    <w:rsid w:val="49F43FBE"/>
    <w:rsid w:val="49FE660F"/>
    <w:rsid w:val="4A031B75"/>
    <w:rsid w:val="4A0459E5"/>
    <w:rsid w:val="4A072940"/>
    <w:rsid w:val="4A097F9B"/>
    <w:rsid w:val="4A103453"/>
    <w:rsid w:val="4A163010"/>
    <w:rsid w:val="4A174AA7"/>
    <w:rsid w:val="4A25320D"/>
    <w:rsid w:val="4A271154"/>
    <w:rsid w:val="4A2F3FA4"/>
    <w:rsid w:val="4A3348FE"/>
    <w:rsid w:val="4A340FB7"/>
    <w:rsid w:val="4A364D7C"/>
    <w:rsid w:val="4A392E09"/>
    <w:rsid w:val="4A3E1791"/>
    <w:rsid w:val="4A402B28"/>
    <w:rsid w:val="4A4925B6"/>
    <w:rsid w:val="4A4B1F88"/>
    <w:rsid w:val="4A51238C"/>
    <w:rsid w:val="4A5275EA"/>
    <w:rsid w:val="4A565110"/>
    <w:rsid w:val="4A683F00"/>
    <w:rsid w:val="4A697031"/>
    <w:rsid w:val="4A6D3C6B"/>
    <w:rsid w:val="4A723E0C"/>
    <w:rsid w:val="4A7325B4"/>
    <w:rsid w:val="4A732AC2"/>
    <w:rsid w:val="4A7B06CB"/>
    <w:rsid w:val="4A897108"/>
    <w:rsid w:val="4A8D2DC3"/>
    <w:rsid w:val="4A976441"/>
    <w:rsid w:val="4A980D4B"/>
    <w:rsid w:val="4A9B5374"/>
    <w:rsid w:val="4AA26A74"/>
    <w:rsid w:val="4AA30BF1"/>
    <w:rsid w:val="4AA965A6"/>
    <w:rsid w:val="4AAB064B"/>
    <w:rsid w:val="4AB06681"/>
    <w:rsid w:val="4AB11621"/>
    <w:rsid w:val="4AB31425"/>
    <w:rsid w:val="4ABF65CB"/>
    <w:rsid w:val="4ACE67BC"/>
    <w:rsid w:val="4AD03EE1"/>
    <w:rsid w:val="4AD13646"/>
    <w:rsid w:val="4AE646D3"/>
    <w:rsid w:val="4AE87655"/>
    <w:rsid w:val="4AEF70DC"/>
    <w:rsid w:val="4AF13697"/>
    <w:rsid w:val="4AF33E66"/>
    <w:rsid w:val="4AF72EB8"/>
    <w:rsid w:val="4AFB4816"/>
    <w:rsid w:val="4B016E14"/>
    <w:rsid w:val="4B047DF8"/>
    <w:rsid w:val="4B095076"/>
    <w:rsid w:val="4B0C0B49"/>
    <w:rsid w:val="4B2C605C"/>
    <w:rsid w:val="4B337B69"/>
    <w:rsid w:val="4B3961A0"/>
    <w:rsid w:val="4B3B3685"/>
    <w:rsid w:val="4B3B61DA"/>
    <w:rsid w:val="4B3D2488"/>
    <w:rsid w:val="4B477FFF"/>
    <w:rsid w:val="4B4A6198"/>
    <w:rsid w:val="4B4E78D4"/>
    <w:rsid w:val="4B4F45C6"/>
    <w:rsid w:val="4B507DBB"/>
    <w:rsid w:val="4B5409DC"/>
    <w:rsid w:val="4B575A65"/>
    <w:rsid w:val="4B636C8D"/>
    <w:rsid w:val="4B64437F"/>
    <w:rsid w:val="4B6657FD"/>
    <w:rsid w:val="4B6C2974"/>
    <w:rsid w:val="4B6E38D6"/>
    <w:rsid w:val="4B707D87"/>
    <w:rsid w:val="4B772FF3"/>
    <w:rsid w:val="4B7A56A0"/>
    <w:rsid w:val="4B874497"/>
    <w:rsid w:val="4B8F7C57"/>
    <w:rsid w:val="4B947A05"/>
    <w:rsid w:val="4B972904"/>
    <w:rsid w:val="4B9C2075"/>
    <w:rsid w:val="4B9C3108"/>
    <w:rsid w:val="4B9C5E95"/>
    <w:rsid w:val="4B9F6208"/>
    <w:rsid w:val="4BA61556"/>
    <w:rsid w:val="4BA8280E"/>
    <w:rsid w:val="4BA92782"/>
    <w:rsid w:val="4BAC74B9"/>
    <w:rsid w:val="4BAD2A2C"/>
    <w:rsid w:val="4BB33AE8"/>
    <w:rsid w:val="4BB70165"/>
    <w:rsid w:val="4BCD7BE0"/>
    <w:rsid w:val="4BD021F3"/>
    <w:rsid w:val="4BD32E0D"/>
    <w:rsid w:val="4BD50B65"/>
    <w:rsid w:val="4BDA3074"/>
    <w:rsid w:val="4BDE4EC0"/>
    <w:rsid w:val="4BE12958"/>
    <w:rsid w:val="4BE67ED4"/>
    <w:rsid w:val="4BE759DB"/>
    <w:rsid w:val="4BEA4B6D"/>
    <w:rsid w:val="4BED1F31"/>
    <w:rsid w:val="4BED4746"/>
    <w:rsid w:val="4BEE3D73"/>
    <w:rsid w:val="4BF368DA"/>
    <w:rsid w:val="4BF74D7A"/>
    <w:rsid w:val="4BFC6AA9"/>
    <w:rsid w:val="4BFD391D"/>
    <w:rsid w:val="4C01623B"/>
    <w:rsid w:val="4C072513"/>
    <w:rsid w:val="4C084F72"/>
    <w:rsid w:val="4C1C3E34"/>
    <w:rsid w:val="4C1E4CE7"/>
    <w:rsid w:val="4C207E1C"/>
    <w:rsid w:val="4C265914"/>
    <w:rsid w:val="4C2A1A6D"/>
    <w:rsid w:val="4C2D4DB1"/>
    <w:rsid w:val="4C311853"/>
    <w:rsid w:val="4C385782"/>
    <w:rsid w:val="4C394ABA"/>
    <w:rsid w:val="4C415EC8"/>
    <w:rsid w:val="4C4E245F"/>
    <w:rsid w:val="4C504E0B"/>
    <w:rsid w:val="4C524887"/>
    <w:rsid w:val="4C560F28"/>
    <w:rsid w:val="4C582D20"/>
    <w:rsid w:val="4C5A6E2E"/>
    <w:rsid w:val="4C5C724D"/>
    <w:rsid w:val="4C7516C1"/>
    <w:rsid w:val="4C7C614F"/>
    <w:rsid w:val="4C7D0013"/>
    <w:rsid w:val="4C7F0A13"/>
    <w:rsid w:val="4C83286D"/>
    <w:rsid w:val="4C837828"/>
    <w:rsid w:val="4C862FB2"/>
    <w:rsid w:val="4C88112A"/>
    <w:rsid w:val="4C88466C"/>
    <w:rsid w:val="4C8C1E5E"/>
    <w:rsid w:val="4C8C693F"/>
    <w:rsid w:val="4C8D37CE"/>
    <w:rsid w:val="4C8E04F2"/>
    <w:rsid w:val="4C9069B8"/>
    <w:rsid w:val="4C936B68"/>
    <w:rsid w:val="4C9A081B"/>
    <w:rsid w:val="4C9C2703"/>
    <w:rsid w:val="4C9F38C9"/>
    <w:rsid w:val="4C9F76E2"/>
    <w:rsid w:val="4CA53E50"/>
    <w:rsid w:val="4CBB1BED"/>
    <w:rsid w:val="4CBC0683"/>
    <w:rsid w:val="4CBF0C1F"/>
    <w:rsid w:val="4CCA0DDF"/>
    <w:rsid w:val="4CCD6DBD"/>
    <w:rsid w:val="4CCE2848"/>
    <w:rsid w:val="4CCF7403"/>
    <w:rsid w:val="4CD1002C"/>
    <w:rsid w:val="4CE83301"/>
    <w:rsid w:val="4CF276DA"/>
    <w:rsid w:val="4CF35221"/>
    <w:rsid w:val="4CF50194"/>
    <w:rsid w:val="4CF91328"/>
    <w:rsid w:val="4CFA614C"/>
    <w:rsid w:val="4D096F51"/>
    <w:rsid w:val="4D0B5B54"/>
    <w:rsid w:val="4D0B6257"/>
    <w:rsid w:val="4D0F6DC3"/>
    <w:rsid w:val="4D1004E5"/>
    <w:rsid w:val="4D1056DB"/>
    <w:rsid w:val="4D152BB0"/>
    <w:rsid w:val="4D1D461A"/>
    <w:rsid w:val="4D1F2497"/>
    <w:rsid w:val="4D220218"/>
    <w:rsid w:val="4D24757F"/>
    <w:rsid w:val="4D250FCC"/>
    <w:rsid w:val="4D256849"/>
    <w:rsid w:val="4D2C2FD8"/>
    <w:rsid w:val="4D2C3EFE"/>
    <w:rsid w:val="4D2F6C24"/>
    <w:rsid w:val="4D3614C5"/>
    <w:rsid w:val="4D3C253E"/>
    <w:rsid w:val="4D48041D"/>
    <w:rsid w:val="4D4C0A8E"/>
    <w:rsid w:val="4D54217D"/>
    <w:rsid w:val="4D59779F"/>
    <w:rsid w:val="4D650311"/>
    <w:rsid w:val="4D6A0047"/>
    <w:rsid w:val="4D6D4C59"/>
    <w:rsid w:val="4D70619A"/>
    <w:rsid w:val="4D717B94"/>
    <w:rsid w:val="4D751FAF"/>
    <w:rsid w:val="4D7C7AAA"/>
    <w:rsid w:val="4D841326"/>
    <w:rsid w:val="4D84308D"/>
    <w:rsid w:val="4D8822A4"/>
    <w:rsid w:val="4D8904B3"/>
    <w:rsid w:val="4D8A5136"/>
    <w:rsid w:val="4D8F2B32"/>
    <w:rsid w:val="4D901D4B"/>
    <w:rsid w:val="4D917D42"/>
    <w:rsid w:val="4D941912"/>
    <w:rsid w:val="4D957EF0"/>
    <w:rsid w:val="4D976FD5"/>
    <w:rsid w:val="4D991165"/>
    <w:rsid w:val="4D9B2660"/>
    <w:rsid w:val="4D9D1C72"/>
    <w:rsid w:val="4D9F0F89"/>
    <w:rsid w:val="4DB74BE5"/>
    <w:rsid w:val="4DBE7510"/>
    <w:rsid w:val="4DC20E67"/>
    <w:rsid w:val="4DC25176"/>
    <w:rsid w:val="4DC42138"/>
    <w:rsid w:val="4DC709AF"/>
    <w:rsid w:val="4DC8753B"/>
    <w:rsid w:val="4DC93B36"/>
    <w:rsid w:val="4DCB14CA"/>
    <w:rsid w:val="4DD00BDD"/>
    <w:rsid w:val="4DD15384"/>
    <w:rsid w:val="4DDE3FD1"/>
    <w:rsid w:val="4DE03782"/>
    <w:rsid w:val="4DE1527F"/>
    <w:rsid w:val="4DE16B63"/>
    <w:rsid w:val="4DE71CC1"/>
    <w:rsid w:val="4DE720F0"/>
    <w:rsid w:val="4DE84FD2"/>
    <w:rsid w:val="4DE94654"/>
    <w:rsid w:val="4DEB3E25"/>
    <w:rsid w:val="4DF15C59"/>
    <w:rsid w:val="4DFA5BA8"/>
    <w:rsid w:val="4DFB0AE0"/>
    <w:rsid w:val="4E0017F7"/>
    <w:rsid w:val="4E006AA8"/>
    <w:rsid w:val="4E00711A"/>
    <w:rsid w:val="4E046F45"/>
    <w:rsid w:val="4E072FEE"/>
    <w:rsid w:val="4E1562A1"/>
    <w:rsid w:val="4E1624BF"/>
    <w:rsid w:val="4E1A4485"/>
    <w:rsid w:val="4E1B6FF4"/>
    <w:rsid w:val="4E1E02FA"/>
    <w:rsid w:val="4E1F583E"/>
    <w:rsid w:val="4E2300EB"/>
    <w:rsid w:val="4E2C5445"/>
    <w:rsid w:val="4E2E2807"/>
    <w:rsid w:val="4E3706B2"/>
    <w:rsid w:val="4E3C1584"/>
    <w:rsid w:val="4E3D7D47"/>
    <w:rsid w:val="4E3F79EC"/>
    <w:rsid w:val="4E444837"/>
    <w:rsid w:val="4E4B02DF"/>
    <w:rsid w:val="4E4B5B43"/>
    <w:rsid w:val="4E4C44A9"/>
    <w:rsid w:val="4E541A92"/>
    <w:rsid w:val="4E554119"/>
    <w:rsid w:val="4E557A4C"/>
    <w:rsid w:val="4E5E45B9"/>
    <w:rsid w:val="4E6C527D"/>
    <w:rsid w:val="4E750711"/>
    <w:rsid w:val="4E7E446D"/>
    <w:rsid w:val="4E7E735C"/>
    <w:rsid w:val="4E8154EC"/>
    <w:rsid w:val="4E82505D"/>
    <w:rsid w:val="4E854541"/>
    <w:rsid w:val="4E8B04E0"/>
    <w:rsid w:val="4E8C1D42"/>
    <w:rsid w:val="4E8F128C"/>
    <w:rsid w:val="4E9019D7"/>
    <w:rsid w:val="4E9478E9"/>
    <w:rsid w:val="4E98197B"/>
    <w:rsid w:val="4E992DED"/>
    <w:rsid w:val="4E994368"/>
    <w:rsid w:val="4E9C700E"/>
    <w:rsid w:val="4E9E44FC"/>
    <w:rsid w:val="4E9F24C2"/>
    <w:rsid w:val="4EA40982"/>
    <w:rsid w:val="4EA42171"/>
    <w:rsid w:val="4EA63EFC"/>
    <w:rsid w:val="4EB2652B"/>
    <w:rsid w:val="4EB73218"/>
    <w:rsid w:val="4EB87DCD"/>
    <w:rsid w:val="4EBB2565"/>
    <w:rsid w:val="4EBB2952"/>
    <w:rsid w:val="4EBC0F80"/>
    <w:rsid w:val="4EC07011"/>
    <w:rsid w:val="4EC87917"/>
    <w:rsid w:val="4ED35CDD"/>
    <w:rsid w:val="4ED8661A"/>
    <w:rsid w:val="4EDD25C6"/>
    <w:rsid w:val="4EE21EA6"/>
    <w:rsid w:val="4EE4662E"/>
    <w:rsid w:val="4EEB37EB"/>
    <w:rsid w:val="4EF36C28"/>
    <w:rsid w:val="4EF4034E"/>
    <w:rsid w:val="4EF66706"/>
    <w:rsid w:val="4F1317A1"/>
    <w:rsid w:val="4F167102"/>
    <w:rsid w:val="4F1725D9"/>
    <w:rsid w:val="4F1A01BF"/>
    <w:rsid w:val="4F221D4E"/>
    <w:rsid w:val="4F223F04"/>
    <w:rsid w:val="4F31025B"/>
    <w:rsid w:val="4F32006C"/>
    <w:rsid w:val="4F363A05"/>
    <w:rsid w:val="4F3A4460"/>
    <w:rsid w:val="4F3F5428"/>
    <w:rsid w:val="4F424F22"/>
    <w:rsid w:val="4F52304A"/>
    <w:rsid w:val="4F5309DC"/>
    <w:rsid w:val="4F591DE3"/>
    <w:rsid w:val="4F5C0854"/>
    <w:rsid w:val="4F5D7ECC"/>
    <w:rsid w:val="4F5E5BDD"/>
    <w:rsid w:val="4F5E6EE5"/>
    <w:rsid w:val="4F617860"/>
    <w:rsid w:val="4F6C1CD1"/>
    <w:rsid w:val="4F7128E4"/>
    <w:rsid w:val="4F72381F"/>
    <w:rsid w:val="4F773CA8"/>
    <w:rsid w:val="4F785758"/>
    <w:rsid w:val="4F7C11D1"/>
    <w:rsid w:val="4F7E7D2B"/>
    <w:rsid w:val="4F806852"/>
    <w:rsid w:val="4F8218D2"/>
    <w:rsid w:val="4F832244"/>
    <w:rsid w:val="4F854731"/>
    <w:rsid w:val="4F8A15FE"/>
    <w:rsid w:val="4F8A31AB"/>
    <w:rsid w:val="4F953228"/>
    <w:rsid w:val="4F9F6108"/>
    <w:rsid w:val="4FA02A34"/>
    <w:rsid w:val="4FA43770"/>
    <w:rsid w:val="4FA52457"/>
    <w:rsid w:val="4FA53AE3"/>
    <w:rsid w:val="4FAB4508"/>
    <w:rsid w:val="4FB80CD1"/>
    <w:rsid w:val="4FBB0BE4"/>
    <w:rsid w:val="4FC361CF"/>
    <w:rsid w:val="4FC424F9"/>
    <w:rsid w:val="4FD50276"/>
    <w:rsid w:val="4FD567D1"/>
    <w:rsid w:val="4FDA60AC"/>
    <w:rsid w:val="4FE1364C"/>
    <w:rsid w:val="4FE501F2"/>
    <w:rsid w:val="4FE549CD"/>
    <w:rsid w:val="4FE81C8F"/>
    <w:rsid w:val="4FEC7554"/>
    <w:rsid w:val="4FF3234F"/>
    <w:rsid w:val="4FF71717"/>
    <w:rsid w:val="4FF8785A"/>
    <w:rsid w:val="4FFF6522"/>
    <w:rsid w:val="5008709E"/>
    <w:rsid w:val="500E331F"/>
    <w:rsid w:val="5010465C"/>
    <w:rsid w:val="501D1070"/>
    <w:rsid w:val="502101C8"/>
    <w:rsid w:val="502A4DA3"/>
    <w:rsid w:val="502B023D"/>
    <w:rsid w:val="502C5BC9"/>
    <w:rsid w:val="50311EB9"/>
    <w:rsid w:val="503E1B6A"/>
    <w:rsid w:val="503E4CFD"/>
    <w:rsid w:val="504120F6"/>
    <w:rsid w:val="5044078A"/>
    <w:rsid w:val="504763CB"/>
    <w:rsid w:val="504A66FE"/>
    <w:rsid w:val="504F3AA4"/>
    <w:rsid w:val="504F4198"/>
    <w:rsid w:val="505138D2"/>
    <w:rsid w:val="50566909"/>
    <w:rsid w:val="505B5901"/>
    <w:rsid w:val="505E1C5F"/>
    <w:rsid w:val="50665DF0"/>
    <w:rsid w:val="507078EB"/>
    <w:rsid w:val="50776CED"/>
    <w:rsid w:val="507F0014"/>
    <w:rsid w:val="50857FB9"/>
    <w:rsid w:val="508A2012"/>
    <w:rsid w:val="508F0FD6"/>
    <w:rsid w:val="50945BF3"/>
    <w:rsid w:val="509665EB"/>
    <w:rsid w:val="509E2246"/>
    <w:rsid w:val="50A5681D"/>
    <w:rsid w:val="50A604D2"/>
    <w:rsid w:val="50A6742E"/>
    <w:rsid w:val="50A962E0"/>
    <w:rsid w:val="50A978A6"/>
    <w:rsid w:val="50B10A7A"/>
    <w:rsid w:val="50C1037E"/>
    <w:rsid w:val="50C222D7"/>
    <w:rsid w:val="50C4074C"/>
    <w:rsid w:val="50CB35EA"/>
    <w:rsid w:val="50E150C0"/>
    <w:rsid w:val="50E62B65"/>
    <w:rsid w:val="50E93363"/>
    <w:rsid w:val="50ED480E"/>
    <w:rsid w:val="50FC7188"/>
    <w:rsid w:val="50FE0618"/>
    <w:rsid w:val="50FE5E54"/>
    <w:rsid w:val="511455CB"/>
    <w:rsid w:val="511B772F"/>
    <w:rsid w:val="51213A28"/>
    <w:rsid w:val="512A52AB"/>
    <w:rsid w:val="512C5D66"/>
    <w:rsid w:val="513231B4"/>
    <w:rsid w:val="513248FB"/>
    <w:rsid w:val="5134501F"/>
    <w:rsid w:val="51377BEE"/>
    <w:rsid w:val="513B3EC5"/>
    <w:rsid w:val="51403BC8"/>
    <w:rsid w:val="51421259"/>
    <w:rsid w:val="51425F96"/>
    <w:rsid w:val="5146482B"/>
    <w:rsid w:val="5147128D"/>
    <w:rsid w:val="51483B2D"/>
    <w:rsid w:val="51487DCD"/>
    <w:rsid w:val="514B4D04"/>
    <w:rsid w:val="5153392D"/>
    <w:rsid w:val="51562C41"/>
    <w:rsid w:val="51565349"/>
    <w:rsid w:val="51584828"/>
    <w:rsid w:val="51596F0E"/>
    <w:rsid w:val="515C3C7D"/>
    <w:rsid w:val="515E1BC2"/>
    <w:rsid w:val="516F028F"/>
    <w:rsid w:val="5171538C"/>
    <w:rsid w:val="51731110"/>
    <w:rsid w:val="51740343"/>
    <w:rsid w:val="517A5388"/>
    <w:rsid w:val="517E5126"/>
    <w:rsid w:val="51844F09"/>
    <w:rsid w:val="518520F9"/>
    <w:rsid w:val="518632B2"/>
    <w:rsid w:val="51873BA6"/>
    <w:rsid w:val="518B4460"/>
    <w:rsid w:val="518D5506"/>
    <w:rsid w:val="518E0C83"/>
    <w:rsid w:val="518E7FF4"/>
    <w:rsid w:val="5190628D"/>
    <w:rsid w:val="519129B7"/>
    <w:rsid w:val="519145ED"/>
    <w:rsid w:val="51930D92"/>
    <w:rsid w:val="519C7309"/>
    <w:rsid w:val="519D39BF"/>
    <w:rsid w:val="519E39A6"/>
    <w:rsid w:val="51A65093"/>
    <w:rsid w:val="51A768F4"/>
    <w:rsid w:val="51B04A7E"/>
    <w:rsid w:val="51BA6BAC"/>
    <w:rsid w:val="51C86569"/>
    <w:rsid w:val="51CF10ED"/>
    <w:rsid w:val="51D1132D"/>
    <w:rsid w:val="51D756F3"/>
    <w:rsid w:val="51D77FC6"/>
    <w:rsid w:val="51D97A2E"/>
    <w:rsid w:val="51DA3034"/>
    <w:rsid w:val="51DC0A7E"/>
    <w:rsid w:val="51E26BF3"/>
    <w:rsid w:val="51E3331B"/>
    <w:rsid w:val="51E37CE4"/>
    <w:rsid w:val="51E41AC4"/>
    <w:rsid w:val="51F061D8"/>
    <w:rsid w:val="51F14A5D"/>
    <w:rsid w:val="51F26391"/>
    <w:rsid w:val="51F57BEB"/>
    <w:rsid w:val="51FB7F09"/>
    <w:rsid w:val="51FC2590"/>
    <w:rsid w:val="520A238B"/>
    <w:rsid w:val="520F045C"/>
    <w:rsid w:val="52102054"/>
    <w:rsid w:val="5217501B"/>
    <w:rsid w:val="5224226F"/>
    <w:rsid w:val="522C1ED1"/>
    <w:rsid w:val="522C53FB"/>
    <w:rsid w:val="522E019A"/>
    <w:rsid w:val="522E3192"/>
    <w:rsid w:val="523728D7"/>
    <w:rsid w:val="52374E48"/>
    <w:rsid w:val="523F4337"/>
    <w:rsid w:val="524104A5"/>
    <w:rsid w:val="52445814"/>
    <w:rsid w:val="52466B60"/>
    <w:rsid w:val="524A26F6"/>
    <w:rsid w:val="524E3508"/>
    <w:rsid w:val="52512882"/>
    <w:rsid w:val="52534F54"/>
    <w:rsid w:val="52544DA1"/>
    <w:rsid w:val="52556BDB"/>
    <w:rsid w:val="5259781D"/>
    <w:rsid w:val="525B240B"/>
    <w:rsid w:val="525F5AF5"/>
    <w:rsid w:val="526219D6"/>
    <w:rsid w:val="52651741"/>
    <w:rsid w:val="526A270E"/>
    <w:rsid w:val="52730D99"/>
    <w:rsid w:val="52752D00"/>
    <w:rsid w:val="52753DC4"/>
    <w:rsid w:val="527918B9"/>
    <w:rsid w:val="527938A6"/>
    <w:rsid w:val="527A212D"/>
    <w:rsid w:val="527C11BE"/>
    <w:rsid w:val="527D2A38"/>
    <w:rsid w:val="52820975"/>
    <w:rsid w:val="52837303"/>
    <w:rsid w:val="52876570"/>
    <w:rsid w:val="528768A3"/>
    <w:rsid w:val="528A4576"/>
    <w:rsid w:val="528F18F2"/>
    <w:rsid w:val="52916301"/>
    <w:rsid w:val="52937316"/>
    <w:rsid w:val="52954DDF"/>
    <w:rsid w:val="5297116B"/>
    <w:rsid w:val="529F56DA"/>
    <w:rsid w:val="52A060EF"/>
    <w:rsid w:val="52A12716"/>
    <w:rsid w:val="52A76B33"/>
    <w:rsid w:val="52A91270"/>
    <w:rsid w:val="52AD47B2"/>
    <w:rsid w:val="52B20EE9"/>
    <w:rsid w:val="52B372FC"/>
    <w:rsid w:val="52BC78BD"/>
    <w:rsid w:val="52C16363"/>
    <w:rsid w:val="52C241E2"/>
    <w:rsid w:val="52C25402"/>
    <w:rsid w:val="52C4111B"/>
    <w:rsid w:val="52C61E03"/>
    <w:rsid w:val="52D31C83"/>
    <w:rsid w:val="52D6469E"/>
    <w:rsid w:val="52D97838"/>
    <w:rsid w:val="52DB0FA5"/>
    <w:rsid w:val="52E00C9E"/>
    <w:rsid w:val="52E07B67"/>
    <w:rsid w:val="52E7660C"/>
    <w:rsid w:val="52EA500E"/>
    <w:rsid w:val="52F40EB2"/>
    <w:rsid w:val="52F67BE1"/>
    <w:rsid w:val="52FE33F1"/>
    <w:rsid w:val="53023044"/>
    <w:rsid w:val="53096F76"/>
    <w:rsid w:val="530D121B"/>
    <w:rsid w:val="530E3E9A"/>
    <w:rsid w:val="53136F78"/>
    <w:rsid w:val="53177FA9"/>
    <w:rsid w:val="531B30E0"/>
    <w:rsid w:val="531E4B59"/>
    <w:rsid w:val="531F76EE"/>
    <w:rsid w:val="53211C1F"/>
    <w:rsid w:val="53270537"/>
    <w:rsid w:val="532B7661"/>
    <w:rsid w:val="533329DA"/>
    <w:rsid w:val="53362D52"/>
    <w:rsid w:val="53366B87"/>
    <w:rsid w:val="53384353"/>
    <w:rsid w:val="533E0F64"/>
    <w:rsid w:val="53473FDC"/>
    <w:rsid w:val="53555E0F"/>
    <w:rsid w:val="53592730"/>
    <w:rsid w:val="535A0BAE"/>
    <w:rsid w:val="535A1B6D"/>
    <w:rsid w:val="535B3E0E"/>
    <w:rsid w:val="535F27B7"/>
    <w:rsid w:val="535F3D40"/>
    <w:rsid w:val="5363794C"/>
    <w:rsid w:val="53642A41"/>
    <w:rsid w:val="53642BA5"/>
    <w:rsid w:val="53664E75"/>
    <w:rsid w:val="53665C8C"/>
    <w:rsid w:val="536A7FF8"/>
    <w:rsid w:val="53724A6F"/>
    <w:rsid w:val="537800B5"/>
    <w:rsid w:val="537803D6"/>
    <w:rsid w:val="537927D0"/>
    <w:rsid w:val="53843FBC"/>
    <w:rsid w:val="538933CB"/>
    <w:rsid w:val="538E6081"/>
    <w:rsid w:val="5393386D"/>
    <w:rsid w:val="53A1094C"/>
    <w:rsid w:val="53AC2FFB"/>
    <w:rsid w:val="53AF4754"/>
    <w:rsid w:val="53BE0B57"/>
    <w:rsid w:val="53C02F87"/>
    <w:rsid w:val="53C13BC4"/>
    <w:rsid w:val="53C32FB7"/>
    <w:rsid w:val="53D64F81"/>
    <w:rsid w:val="53DD2159"/>
    <w:rsid w:val="53E552E8"/>
    <w:rsid w:val="53E91949"/>
    <w:rsid w:val="53FB1DB5"/>
    <w:rsid w:val="53FD0B4E"/>
    <w:rsid w:val="540A67C3"/>
    <w:rsid w:val="54117A97"/>
    <w:rsid w:val="54190E84"/>
    <w:rsid w:val="54232DE1"/>
    <w:rsid w:val="54237E98"/>
    <w:rsid w:val="5428006A"/>
    <w:rsid w:val="5429090B"/>
    <w:rsid w:val="542C5828"/>
    <w:rsid w:val="542E3330"/>
    <w:rsid w:val="543A34CD"/>
    <w:rsid w:val="54403DE8"/>
    <w:rsid w:val="54411DB0"/>
    <w:rsid w:val="545238FE"/>
    <w:rsid w:val="54555910"/>
    <w:rsid w:val="545A023B"/>
    <w:rsid w:val="545C766E"/>
    <w:rsid w:val="5462631D"/>
    <w:rsid w:val="54645B88"/>
    <w:rsid w:val="546D2D34"/>
    <w:rsid w:val="546F5854"/>
    <w:rsid w:val="547132F6"/>
    <w:rsid w:val="54764065"/>
    <w:rsid w:val="54782D4B"/>
    <w:rsid w:val="54793934"/>
    <w:rsid w:val="5479401A"/>
    <w:rsid w:val="547C1F96"/>
    <w:rsid w:val="547C550F"/>
    <w:rsid w:val="547D4001"/>
    <w:rsid w:val="548723BF"/>
    <w:rsid w:val="548B2892"/>
    <w:rsid w:val="548C2F35"/>
    <w:rsid w:val="54942F78"/>
    <w:rsid w:val="54A51F64"/>
    <w:rsid w:val="54A575AB"/>
    <w:rsid w:val="54AB7471"/>
    <w:rsid w:val="54AD1C76"/>
    <w:rsid w:val="54BC43A3"/>
    <w:rsid w:val="54C0426F"/>
    <w:rsid w:val="54C412B4"/>
    <w:rsid w:val="54C43FC0"/>
    <w:rsid w:val="54C447A0"/>
    <w:rsid w:val="54CF7716"/>
    <w:rsid w:val="54D21858"/>
    <w:rsid w:val="54D359F6"/>
    <w:rsid w:val="54D721BF"/>
    <w:rsid w:val="54EA5A0A"/>
    <w:rsid w:val="54EC314C"/>
    <w:rsid w:val="54EE57A9"/>
    <w:rsid w:val="54F24B8F"/>
    <w:rsid w:val="54F336EE"/>
    <w:rsid w:val="54F67623"/>
    <w:rsid w:val="54FE7FB7"/>
    <w:rsid w:val="5508163B"/>
    <w:rsid w:val="55094339"/>
    <w:rsid w:val="550B7CA9"/>
    <w:rsid w:val="550C3318"/>
    <w:rsid w:val="551259F4"/>
    <w:rsid w:val="55182932"/>
    <w:rsid w:val="551904BC"/>
    <w:rsid w:val="552144BB"/>
    <w:rsid w:val="552545A7"/>
    <w:rsid w:val="552C1E6C"/>
    <w:rsid w:val="552E3F66"/>
    <w:rsid w:val="553174DF"/>
    <w:rsid w:val="55326EC6"/>
    <w:rsid w:val="553768C4"/>
    <w:rsid w:val="555918F6"/>
    <w:rsid w:val="555A0446"/>
    <w:rsid w:val="555A17BB"/>
    <w:rsid w:val="555A3A51"/>
    <w:rsid w:val="556240CB"/>
    <w:rsid w:val="55750C61"/>
    <w:rsid w:val="5576181C"/>
    <w:rsid w:val="557C59C7"/>
    <w:rsid w:val="55844FCB"/>
    <w:rsid w:val="5587551F"/>
    <w:rsid w:val="558B10AF"/>
    <w:rsid w:val="558D0DBF"/>
    <w:rsid w:val="558E30B2"/>
    <w:rsid w:val="55990D93"/>
    <w:rsid w:val="559A520C"/>
    <w:rsid w:val="559C0822"/>
    <w:rsid w:val="559E1CF2"/>
    <w:rsid w:val="55A34BF0"/>
    <w:rsid w:val="55A85BBD"/>
    <w:rsid w:val="55A87936"/>
    <w:rsid w:val="55AB2BE3"/>
    <w:rsid w:val="55B034A2"/>
    <w:rsid w:val="55BA10D0"/>
    <w:rsid w:val="55BA2091"/>
    <w:rsid w:val="55BA49AD"/>
    <w:rsid w:val="55BF76DE"/>
    <w:rsid w:val="55C44B4D"/>
    <w:rsid w:val="55C93561"/>
    <w:rsid w:val="55CC5C98"/>
    <w:rsid w:val="55D2737F"/>
    <w:rsid w:val="55D3794C"/>
    <w:rsid w:val="55DB786A"/>
    <w:rsid w:val="55DC195A"/>
    <w:rsid w:val="55DC2DF7"/>
    <w:rsid w:val="55E41FA5"/>
    <w:rsid w:val="55E56CDB"/>
    <w:rsid w:val="55E811A0"/>
    <w:rsid w:val="55EB6F11"/>
    <w:rsid w:val="55F44EED"/>
    <w:rsid w:val="55F66923"/>
    <w:rsid w:val="55FB253B"/>
    <w:rsid w:val="55FB4645"/>
    <w:rsid w:val="55FF671D"/>
    <w:rsid w:val="56094D1D"/>
    <w:rsid w:val="560D2C82"/>
    <w:rsid w:val="56124EF8"/>
    <w:rsid w:val="56160EB6"/>
    <w:rsid w:val="561A687C"/>
    <w:rsid w:val="561E57B0"/>
    <w:rsid w:val="56215719"/>
    <w:rsid w:val="56245F91"/>
    <w:rsid w:val="562E3178"/>
    <w:rsid w:val="562F4CEF"/>
    <w:rsid w:val="56345A4C"/>
    <w:rsid w:val="563660E3"/>
    <w:rsid w:val="56407EC2"/>
    <w:rsid w:val="5641588C"/>
    <w:rsid w:val="5642246A"/>
    <w:rsid w:val="56424790"/>
    <w:rsid w:val="56446089"/>
    <w:rsid w:val="564967EB"/>
    <w:rsid w:val="565B5A11"/>
    <w:rsid w:val="565C2313"/>
    <w:rsid w:val="565E199C"/>
    <w:rsid w:val="566144DB"/>
    <w:rsid w:val="56627319"/>
    <w:rsid w:val="5663016A"/>
    <w:rsid w:val="566B02EE"/>
    <w:rsid w:val="566B7838"/>
    <w:rsid w:val="566D07B4"/>
    <w:rsid w:val="566F3400"/>
    <w:rsid w:val="56752F90"/>
    <w:rsid w:val="567927DA"/>
    <w:rsid w:val="567A6DA6"/>
    <w:rsid w:val="567B6A65"/>
    <w:rsid w:val="567C319E"/>
    <w:rsid w:val="567C6746"/>
    <w:rsid w:val="56956152"/>
    <w:rsid w:val="569C25F3"/>
    <w:rsid w:val="56A14537"/>
    <w:rsid w:val="56A35EE0"/>
    <w:rsid w:val="56A74D8A"/>
    <w:rsid w:val="56A94125"/>
    <w:rsid w:val="56AA3D6A"/>
    <w:rsid w:val="56AB1581"/>
    <w:rsid w:val="56B20841"/>
    <w:rsid w:val="56B459F8"/>
    <w:rsid w:val="56B50CEF"/>
    <w:rsid w:val="56B87E01"/>
    <w:rsid w:val="56B91B4C"/>
    <w:rsid w:val="56BA12E0"/>
    <w:rsid w:val="56BD6934"/>
    <w:rsid w:val="56C371CC"/>
    <w:rsid w:val="56C45F6B"/>
    <w:rsid w:val="56C579AB"/>
    <w:rsid w:val="56C6533B"/>
    <w:rsid w:val="56CD707C"/>
    <w:rsid w:val="56CE2F82"/>
    <w:rsid w:val="56D1636A"/>
    <w:rsid w:val="56DB3483"/>
    <w:rsid w:val="56DE05E7"/>
    <w:rsid w:val="56E635C3"/>
    <w:rsid w:val="56F6339E"/>
    <w:rsid w:val="56F654C7"/>
    <w:rsid w:val="57025B2E"/>
    <w:rsid w:val="5705347E"/>
    <w:rsid w:val="57074C9F"/>
    <w:rsid w:val="570C05DD"/>
    <w:rsid w:val="570F1408"/>
    <w:rsid w:val="57105E05"/>
    <w:rsid w:val="57174257"/>
    <w:rsid w:val="57177CBC"/>
    <w:rsid w:val="571D698E"/>
    <w:rsid w:val="5721270E"/>
    <w:rsid w:val="572402E5"/>
    <w:rsid w:val="572558A1"/>
    <w:rsid w:val="572B7488"/>
    <w:rsid w:val="572F06D3"/>
    <w:rsid w:val="572F2A8A"/>
    <w:rsid w:val="5737418C"/>
    <w:rsid w:val="57381402"/>
    <w:rsid w:val="573E5B89"/>
    <w:rsid w:val="574160EF"/>
    <w:rsid w:val="574442C3"/>
    <w:rsid w:val="574E096A"/>
    <w:rsid w:val="57516948"/>
    <w:rsid w:val="575F7AC3"/>
    <w:rsid w:val="576047DE"/>
    <w:rsid w:val="57607922"/>
    <w:rsid w:val="576440C5"/>
    <w:rsid w:val="576C1940"/>
    <w:rsid w:val="576E246A"/>
    <w:rsid w:val="57713FAA"/>
    <w:rsid w:val="57806EB3"/>
    <w:rsid w:val="57822018"/>
    <w:rsid w:val="57835828"/>
    <w:rsid w:val="57866FE1"/>
    <w:rsid w:val="57886633"/>
    <w:rsid w:val="578B006B"/>
    <w:rsid w:val="57995B5D"/>
    <w:rsid w:val="579A2B40"/>
    <w:rsid w:val="57A20DEB"/>
    <w:rsid w:val="57A50C40"/>
    <w:rsid w:val="57A56210"/>
    <w:rsid w:val="57AB050C"/>
    <w:rsid w:val="57B2367C"/>
    <w:rsid w:val="57BC1E77"/>
    <w:rsid w:val="57C623D0"/>
    <w:rsid w:val="57D207CC"/>
    <w:rsid w:val="57D33B32"/>
    <w:rsid w:val="57DE075C"/>
    <w:rsid w:val="57E164E4"/>
    <w:rsid w:val="57E32338"/>
    <w:rsid w:val="57ED70F7"/>
    <w:rsid w:val="57F03721"/>
    <w:rsid w:val="57F3659F"/>
    <w:rsid w:val="57F53B0F"/>
    <w:rsid w:val="57FA7EB1"/>
    <w:rsid w:val="57FB488A"/>
    <w:rsid w:val="57FE6EFD"/>
    <w:rsid w:val="58011482"/>
    <w:rsid w:val="580412E0"/>
    <w:rsid w:val="58060DB4"/>
    <w:rsid w:val="58183121"/>
    <w:rsid w:val="581C2A27"/>
    <w:rsid w:val="58203136"/>
    <w:rsid w:val="58217676"/>
    <w:rsid w:val="582226EA"/>
    <w:rsid w:val="58227E51"/>
    <w:rsid w:val="582709F4"/>
    <w:rsid w:val="582E4B67"/>
    <w:rsid w:val="583B006C"/>
    <w:rsid w:val="583C2FF6"/>
    <w:rsid w:val="583C6FC3"/>
    <w:rsid w:val="583E20ED"/>
    <w:rsid w:val="58433D25"/>
    <w:rsid w:val="58453C00"/>
    <w:rsid w:val="58461799"/>
    <w:rsid w:val="58461A67"/>
    <w:rsid w:val="584B2F05"/>
    <w:rsid w:val="58507432"/>
    <w:rsid w:val="58533918"/>
    <w:rsid w:val="585D7863"/>
    <w:rsid w:val="585E3C9A"/>
    <w:rsid w:val="5866455B"/>
    <w:rsid w:val="586B5B60"/>
    <w:rsid w:val="58727C86"/>
    <w:rsid w:val="58762A7B"/>
    <w:rsid w:val="587A4104"/>
    <w:rsid w:val="588046FA"/>
    <w:rsid w:val="588413F1"/>
    <w:rsid w:val="588D558B"/>
    <w:rsid w:val="589050AD"/>
    <w:rsid w:val="58936DE7"/>
    <w:rsid w:val="589F1F0D"/>
    <w:rsid w:val="58A00550"/>
    <w:rsid w:val="58B94A37"/>
    <w:rsid w:val="58B952FE"/>
    <w:rsid w:val="58BC1202"/>
    <w:rsid w:val="58BD1B6F"/>
    <w:rsid w:val="58BF5310"/>
    <w:rsid w:val="58C532ED"/>
    <w:rsid w:val="58CC728F"/>
    <w:rsid w:val="58D84983"/>
    <w:rsid w:val="58DA2C26"/>
    <w:rsid w:val="58E17A86"/>
    <w:rsid w:val="58ED7352"/>
    <w:rsid w:val="58EE435D"/>
    <w:rsid w:val="58F07362"/>
    <w:rsid w:val="58F22F26"/>
    <w:rsid w:val="58F71509"/>
    <w:rsid w:val="58F83027"/>
    <w:rsid w:val="58F8508F"/>
    <w:rsid w:val="59090276"/>
    <w:rsid w:val="59094DBB"/>
    <w:rsid w:val="591923A3"/>
    <w:rsid w:val="591A4CB9"/>
    <w:rsid w:val="59254BAC"/>
    <w:rsid w:val="592C2C32"/>
    <w:rsid w:val="59317B02"/>
    <w:rsid w:val="59330C08"/>
    <w:rsid w:val="5938300C"/>
    <w:rsid w:val="593C2994"/>
    <w:rsid w:val="59407817"/>
    <w:rsid w:val="5944109F"/>
    <w:rsid w:val="59447D85"/>
    <w:rsid w:val="59471674"/>
    <w:rsid w:val="59477352"/>
    <w:rsid w:val="594F51A1"/>
    <w:rsid w:val="59546047"/>
    <w:rsid w:val="595739F0"/>
    <w:rsid w:val="595A65A7"/>
    <w:rsid w:val="5973769F"/>
    <w:rsid w:val="5974190D"/>
    <w:rsid w:val="59760C23"/>
    <w:rsid w:val="59780F52"/>
    <w:rsid w:val="597A4263"/>
    <w:rsid w:val="597F565A"/>
    <w:rsid w:val="59812A9F"/>
    <w:rsid w:val="59853440"/>
    <w:rsid w:val="59865712"/>
    <w:rsid w:val="598B7A50"/>
    <w:rsid w:val="598D2B77"/>
    <w:rsid w:val="5993460F"/>
    <w:rsid w:val="59937671"/>
    <w:rsid w:val="59976928"/>
    <w:rsid w:val="599921AF"/>
    <w:rsid w:val="599B4494"/>
    <w:rsid w:val="599B6839"/>
    <w:rsid w:val="599F7F38"/>
    <w:rsid w:val="59A759C4"/>
    <w:rsid w:val="59AA112C"/>
    <w:rsid w:val="59AA2E7B"/>
    <w:rsid w:val="59AE34DF"/>
    <w:rsid w:val="59AF0C9B"/>
    <w:rsid w:val="59AF7243"/>
    <w:rsid w:val="59B34CEC"/>
    <w:rsid w:val="59BC0CD6"/>
    <w:rsid w:val="59BC1559"/>
    <w:rsid w:val="59BD4E8D"/>
    <w:rsid w:val="59BD77DC"/>
    <w:rsid w:val="59C73934"/>
    <w:rsid w:val="59C85657"/>
    <w:rsid w:val="59CB292D"/>
    <w:rsid w:val="59CD1DB6"/>
    <w:rsid w:val="59CD758E"/>
    <w:rsid w:val="59D10926"/>
    <w:rsid w:val="59D5082B"/>
    <w:rsid w:val="59DA549C"/>
    <w:rsid w:val="59DB522F"/>
    <w:rsid w:val="59E81EDE"/>
    <w:rsid w:val="59F3412B"/>
    <w:rsid w:val="59F41064"/>
    <w:rsid w:val="59FD0FA5"/>
    <w:rsid w:val="5A001128"/>
    <w:rsid w:val="5A0D7D19"/>
    <w:rsid w:val="5A13357B"/>
    <w:rsid w:val="5A156775"/>
    <w:rsid w:val="5A161AA0"/>
    <w:rsid w:val="5A1A6595"/>
    <w:rsid w:val="5A1D7244"/>
    <w:rsid w:val="5A2A685D"/>
    <w:rsid w:val="5A38172A"/>
    <w:rsid w:val="5A3B5D9B"/>
    <w:rsid w:val="5A3C14FF"/>
    <w:rsid w:val="5A3C67F0"/>
    <w:rsid w:val="5A470403"/>
    <w:rsid w:val="5A475C84"/>
    <w:rsid w:val="5A4A1731"/>
    <w:rsid w:val="5A4A24A5"/>
    <w:rsid w:val="5A4A6AA4"/>
    <w:rsid w:val="5A5E701C"/>
    <w:rsid w:val="5A633621"/>
    <w:rsid w:val="5A6841CE"/>
    <w:rsid w:val="5A6B40F5"/>
    <w:rsid w:val="5A6C11B2"/>
    <w:rsid w:val="5A6F0813"/>
    <w:rsid w:val="5A7051B4"/>
    <w:rsid w:val="5A7245CD"/>
    <w:rsid w:val="5A7572F1"/>
    <w:rsid w:val="5A8038DA"/>
    <w:rsid w:val="5A822729"/>
    <w:rsid w:val="5A87069A"/>
    <w:rsid w:val="5A8F3AB5"/>
    <w:rsid w:val="5A950BF3"/>
    <w:rsid w:val="5A990348"/>
    <w:rsid w:val="5A9A73EB"/>
    <w:rsid w:val="5A9B7D67"/>
    <w:rsid w:val="5AA00EF4"/>
    <w:rsid w:val="5AA12BA1"/>
    <w:rsid w:val="5AA364C0"/>
    <w:rsid w:val="5AA61142"/>
    <w:rsid w:val="5AA837ED"/>
    <w:rsid w:val="5AA84E40"/>
    <w:rsid w:val="5AB15014"/>
    <w:rsid w:val="5AB244C8"/>
    <w:rsid w:val="5AB611CC"/>
    <w:rsid w:val="5ACE24A5"/>
    <w:rsid w:val="5AD10088"/>
    <w:rsid w:val="5AD1063A"/>
    <w:rsid w:val="5AD65F75"/>
    <w:rsid w:val="5ADC5FC3"/>
    <w:rsid w:val="5ADD6A65"/>
    <w:rsid w:val="5AE56D3C"/>
    <w:rsid w:val="5AEB279E"/>
    <w:rsid w:val="5AEF048B"/>
    <w:rsid w:val="5AF060FE"/>
    <w:rsid w:val="5AFE39C7"/>
    <w:rsid w:val="5AFF46F8"/>
    <w:rsid w:val="5B01307E"/>
    <w:rsid w:val="5B022ED6"/>
    <w:rsid w:val="5B065173"/>
    <w:rsid w:val="5B0757E5"/>
    <w:rsid w:val="5B1A22AC"/>
    <w:rsid w:val="5B253EE6"/>
    <w:rsid w:val="5B256E64"/>
    <w:rsid w:val="5B282836"/>
    <w:rsid w:val="5B2A2044"/>
    <w:rsid w:val="5B2B3BC6"/>
    <w:rsid w:val="5B2D1ACD"/>
    <w:rsid w:val="5B2D657F"/>
    <w:rsid w:val="5B2E2A45"/>
    <w:rsid w:val="5B343567"/>
    <w:rsid w:val="5B40703C"/>
    <w:rsid w:val="5B4E6DAF"/>
    <w:rsid w:val="5B4F3E5C"/>
    <w:rsid w:val="5B515E1F"/>
    <w:rsid w:val="5B525A2F"/>
    <w:rsid w:val="5B532291"/>
    <w:rsid w:val="5B5422E9"/>
    <w:rsid w:val="5B561877"/>
    <w:rsid w:val="5B5619E4"/>
    <w:rsid w:val="5B57323D"/>
    <w:rsid w:val="5B582704"/>
    <w:rsid w:val="5B690280"/>
    <w:rsid w:val="5B696693"/>
    <w:rsid w:val="5B6A2EE4"/>
    <w:rsid w:val="5B6F559C"/>
    <w:rsid w:val="5B716F45"/>
    <w:rsid w:val="5B7A660F"/>
    <w:rsid w:val="5B7A73E4"/>
    <w:rsid w:val="5B7B53D7"/>
    <w:rsid w:val="5B7D6874"/>
    <w:rsid w:val="5B7D7D43"/>
    <w:rsid w:val="5B8106D1"/>
    <w:rsid w:val="5B815A89"/>
    <w:rsid w:val="5B857468"/>
    <w:rsid w:val="5B8F6A08"/>
    <w:rsid w:val="5B907D16"/>
    <w:rsid w:val="5B93777D"/>
    <w:rsid w:val="5B9A7379"/>
    <w:rsid w:val="5BA106A9"/>
    <w:rsid w:val="5BA56B9A"/>
    <w:rsid w:val="5BA625CB"/>
    <w:rsid w:val="5BA7203D"/>
    <w:rsid w:val="5BA90ACE"/>
    <w:rsid w:val="5BA91348"/>
    <w:rsid w:val="5BB414A6"/>
    <w:rsid w:val="5BB549C5"/>
    <w:rsid w:val="5BB56751"/>
    <w:rsid w:val="5BB83346"/>
    <w:rsid w:val="5BBB0910"/>
    <w:rsid w:val="5BBE5B09"/>
    <w:rsid w:val="5BC522AF"/>
    <w:rsid w:val="5BC92236"/>
    <w:rsid w:val="5BD377AA"/>
    <w:rsid w:val="5BD857B3"/>
    <w:rsid w:val="5BE32326"/>
    <w:rsid w:val="5BEC7F09"/>
    <w:rsid w:val="5BEE0270"/>
    <w:rsid w:val="5BF12DCF"/>
    <w:rsid w:val="5BF45434"/>
    <w:rsid w:val="5BF75F15"/>
    <w:rsid w:val="5BF9729D"/>
    <w:rsid w:val="5C004542"/>
    <w:rsid w:val="5C0A719B"/>
    <w:rsid w:val="5C0E4B83"/>
    <w:rsid w:val="5C126991"/>
    <w:rsid w:val="5C136099"/>
    <w:rsid w:val="5C145E34"/>
    <w:rsid w:val="5C1941DA"/>
    <w:rsid w:val="5C1A2E66"/>
    <w:rsid w:val="5C1A3BF5"/>
    <w:rsid w:val="5C1D5007"/>
    <w:rsid w:val="5C225DE2"/>
    <w:rsid w:val="5C2322F9"/>
    <w:rsid w:val="5C271214"/>
    <w:rsid w:val="5C3370FD"/>
    <w:rsid w:val="5C340AC7"/>
    <w:rsid w:val="5C34568E"/>
    <w:rsid w:val="5C375FDA"/>
    <w:rsid w:val="5C3D3C75"/>
    <w:rsid w:val="5C4022A8"/>
    <w:rsid w:val="5C403946"/>
    <w:rsid w:val="5C4702A2"/>
    <w:rsid w:val="5C4E2000"/>
    <w:rsid w:val="5C4F7C25"/>
    <w:rsid w:val="5C5A0FAA"/>
    <w:rsid w:val="5C5D3621"/>
    <w:rsid w:val="5C5D362A"/>
    <w:rsid w:val="5C605E11"/>
    <w:rsid w:val="5C631963"/>
    <w:rsid w:val="5C6379E2"/>
    <w:rsid w:val="5C647D29"/>
    <w:rsid w:val="5C6B2F6B"/>
    <w:rsid w:val="5C6B7D6D"/>
    <w:rsid w:val="5C7213B5"/>
    <w:rsid w:val="5C7726F2"/>
    <w:rsid w:val="5C7F753B"/>
    <w:rsid w:val="5C8D1CF9"/>
    <w:rsid w:val="5C8D7862"/>
    <w:rsid w:val="5C966F65"/>
    <w:rsid w:val="5C9B6F18"/>
    <w:rsid w:val="5CA206D7"/>
    <w:rsid w:val="5CAF64C7"/>
    <w:rsid w:val="5CB650A7"/>
    <w:rsid w:val="5CB726B2"/>
    <w:rsid w:val="5CBD3C48"/>
    <w:rsid w:val="5CBD6617"/>
    <w:rsid w:val="5CC30B84"/>
    <w:rsid w:val="5CC55DEA"/>
    <w:rsid w:val="5CC83B09"/>
    <w:rsid w:val="5CCE7D62"/>
    <w:rsid w:val="5CD85F5E"/>
    <w:rsid w:val="5CDA330C"/>
    <w:rsid w:val="5CDB77B7"/>
    <w:rsid w:val="5CDF101F"/>
    <w:rsid w:val="5CE44354"/>
    <w:rsid w:val="5CE60950"/>
    <w:rsid w:val="5CE73AFA"/>
    <w:rsid w:val="5CE760EF"/>
    <w:rsid w:val="5CE919A1"/>
    <w:rsid w:val="5CEA0961"/>
    <w:rsid w:val="5CF365AD"/>
    <w:rsid w:val="5D001F0A"/>
    <w:rsid w:val="5D042A86"/>
    <w:rsid w:val="5D055045"/>
    <w:rsid w:val="5D0771EE"/>
    <w:rsid w:val="5D0D3AC7"/>
    <w:rsid w:val="5D0E50CF"/>
    <w:rsid w:val="5D1542D9"/>
    <w:rsid w:val="5D2440D5"/>
    <w:rsid w:val="5D2B130E"/>
    <w:rsid w:val="5D3040C3"/>
    <w:rsid w:val="5D390D2A"/>
    <w:rsid w:val="5D3B614F"/>
    <w:rsid w:val="5D544433"/>
    <w:rsid w:val="5D591F22"/>
    <w:rsid w:val="5D5E6713"/>
    <w:rsid w:val="5D626243"/>
    <w:rsid w:val="5D650C86"/>
    <w:rsid w:val="5D6C1257"/>
    <w:rsid w:val="5D726D48"/>
    <w:rsid w:val="5D81488F"/>
    <w:rsid w:val="5D8240B5"/>
    <w:rsid w:val="5D844E2C"/>
    <w:rsid w:val="5D864F3E"/>
    <w:rsid w:val="5D884A8E"/>
    <w:rsid w:val="5D8C6EFD"/>
    <w:rsid w:val="5D8F7436"/>
    <w:rsid w:val="5D96631B"/>
    <w:rsid w:val="5D986DEE"/>
    <w:rsid w:val="5D9D4B58"/>
    <w:rsid w:val="5DA12A9F"/>
    <w:rsid w:val="5DA522A7"/>
    <w:rsid w:val="5DA903B8"/>
    <w:rsid w:val="5DAF43BC"/>
    <w:rsid w:val="5DB52780"/>
    <w:rsid w:val="5DB61DB3"/>
    <w:rsid w:val="5DBD5070"/>
    <w:rsid w:val="5DC00A47"/>
    <w:rsid w:val="5DC06EF4"/>
    <w:rsid w:val="5DCB405E"/>
    <w:rsid w:val="5DCD2A29"/>
    <w:rsid w:val="5DCE728A"/>
    <w:rsid w:val="5DD22589"/>
    <w:rsid w:val="5DD44559"/>
    <w:rsid w:val="5DD671EA"/>
    <w:rsid w:val="5DDF2EBE"/>
    <w:rsid w:val="5DE164F1"/>
    <w:rsid w:val="5DE44D92"/>
    <w:rsid w:val="5DE70C4A"/>
    <w:rsid w:val="5DE85EB0"/>
    <w:rsid w:val="5DEB3A8A"/>
    <w:rsid w:val="5DF12818"/>
    <w:rsid w:val="5DF81EF0"/>
    <w:rsid w:val="5DFC4F67"/>
    <w:rsid w:val="5E0425A4"/>
    <w:rsid w:val="5E046003"/>
    <w:rsid w:val="5E051292"/>
    <w:rsid w:val="5E057D2E"/>
    <w:rsid w:val="5E0B4D5F"/>
    <w:rsid w:val="5E0B5BC1"/>
    <w:rsid w:val="5E0D4B88"/>
    <w:rsid w:val="5E0D6148"/>
    <w:rsid w:val="5E11499A"/>
    <w:rsid w:val="5E1441BF"/>
    <w:rsid w:val="5E1511AD"/>
    <w:rsid w:val="5E1A7309"/>
    <w:rsid w:val="5E236BE8"/>
    <w:rsid w:val="5E237020"/>
    <w:rsid w:val="5E280231"/>
    <w:rsid w:val="5E2A698E"/>
    <w:rsid w:val="5E2C41B9"/>
    <w:rsid w:val="5E304520"/>
    <w:rsid w:val="5E3665A8"/>
    <w:rsid w:val="5E391CBE"/>
    <w:rsid w:val="5E3B7B94"/>
    <w:rsid w:val="5E3E169A"/>
    <w:rsid w:val="5E433C7E"/>
    <w:rsid w:val="5E460747"/>
    <w:rsid w:val="5E4A6B59"/>
    <w:rsid w:val="5E4C6FC2"/>
    <w:rsid w:val="5E551F41"/>
    <w:rsid w:val="5E5650A4"/>
    <w:rsid w:val="5E5F553F"/>
    <w:rsid w:val="5E6404C4"/>
    <w:rsid w:val="5E641CBB"/>
    <w:rsid w:val="5E6619C0"/>
    <w:rsid w:val="5E686D2F"/>
    <w:rsid w:val="5E696D3D"/>
    <w:rsid w:val="5E6A7DF6"/>
    <w:rsid w:val="5E6E52C4"/>
    <w:rsid w:val="5E6F4D1E"/>
    <w:rsid w:val="5E7177E8"/>
    <w:rsid w:val="5E733F56"/>
    <w:rsid w:val="5E7D1080"/>
    <w:rsid w:val="5E7D4F20"/>
    <w:rsid w:val="5E7D5E63"/>
    <w:rsid w:val="5E7F1111"/>
    <w:rsid w:val="5E823584"/>
    <w:rsid w:val="5E8E7644"/>
    <w:rsid w:val="5E933E06"/>
    <w:rsid w:val="5E960018"/>
    <w:rsid w:val="5E977673"/>
    <w:rsid w:val="5E9B7299"/>
    <w:rsid w:val="5E9E39AA"/>
    <w:rsid w:val="5EAE1220"/>
    <w:rsid w:val="5EAF2975"/>
    <w:rsid w:val="5EB736AF"/>
    <w:rsid w:val="5EB932B4"/>
    <w:rsid w:val="5EBC14EB"/>
    <w:rsid w:val="5EC36651"/>
    <w:rsid w:val="5EC865BF"/>
    <w:rsid w:val="5ECB2237"/>
    <w:rsid w:val="5ECF0DAE"/>
    <w:rsid w:val="5ED0378E"/>
    <w:rsid w:val="5ED45C6F"/>
    <w:rsid w:val="5ED6434F"/>
    <w:rsid w:val="5EDC00EC"/>
    <w:rsid w:val="5EDE6832"/>
    <w:rsid w:val="5EE26D51"/>
    <w:rsid w:val="5EE40081"/>
    <w:rsid w:val="5EFB7B14"/>
    <w:rsid w:val="5F0E5207"/>
    <w:rsid w:val="5F1234ED"/>
    <w:rsid w:val="5F124774"/>
    <w:rsid w:val="5F166895"/>
    <w:rsid w:val="5F1F1D55"/>
    <w:rsid w:val="5F2241FE"/>
    <w:rsid w:val="5F25249B"/>
    <w:rsid w:val="5F2570C2"/>
    <w:rsid w:val="5F293B70"/>
    <w:rsid w:val="5F2A5584"/>
    <w:rsid w:val="5F2B2B26"/>
    <w:rsid w:val="5F317144"/>
    <w:rsid w:val="5F317A2D"/>
    <w:rsid w:val="5F3412EC"/>
    <w:rsid w:val="5F395F11"/>
    <w:rsid w:val="5F397EA4"/>
    <w:rsid w:val="5F410042"/>
    <w:rsid w:val="5F410A04"/>
    <w:rsid w:val="5F461318"/>
    <w:rsid w:val="5F464BB3"/>
    <w:rsid w:val="5F474CA2"/>
    <w:rsid w:val="5F485425"/>
    <w:rsid w:val="5F4A5D79"/>
    <w:rsid w:val="5F4B63C4"/>
    <w:rsid w:val="5F4B6821"/>
    <w:rsid w:val="5F4E2248"/>
    <w:rsid w:val="5F4E578E"/>
    <w:rsid w:val="5F4E63E2"/>
    <w:rsid w:val="5F4F4971"/>
    <w:rsid w:val="5F4F5F81"/>
    <w:rsid w:val="5F5066D1"/>
    <w:rsid w:val="5F584187"/>
    <w:rsid w:val="5F5D56A0"/>
    <w:rsid w:val="5F5D78EE"/>
    <w:rsid w:val="5F63088C"/>
    <w:rsid w:val="5F637483"/>
    <w:rsid w:val="5F6E07FB"/>
    <w:rsid w:val="5F6F0CC5"/>
    <w:rsid w:val="5F714064"/>
    <w:rsid w:val="5F750916"/>
    <w:rsid w:val="5F7924CA"/>
    <w:rsid w:val="5F794B1B"/>
    <w:rsid w:val="5F8135CA"/>
    <w:rsid w:val="5F842CCF"/>
    <w:rsid w:val="5F844F58"/>
    <w:rsid w:val="5F846D40"/>
    <w:rsid w:val="5F870CF8"/>
    <w:rsid w:val="5F8E30EF"/>
    <w:rsid w:val="5F9C22A6"/>
    <w:rsid w:val="5FA57338"/>
    <w:rsid w:val="5FAA359A"/>
    <w:rsid w:val="5FAC183D"/>
    <w:rsid w:val="5FAE2D36"/>
    <w:rsid w:val="5FB3583C"/>
    <w:rsid w:val="5FB667DD"/>
    <w:rsid w:val="5FC14D75"/>
    <w:rsid w:val="5FC239FE"/>
    <w:rsid w:val="5FC41FAD"/>
    <w:rsid w:val="5FCB25C0"/>
    <w:rsid w:val="5FD10D83"/>
    <w:rsid w:val="5FE124DC"/>
    <w:rsid w:val="5FE3598E"/>
    <w:rsid w:val="5FE45E01"/>
    <w:rsid w:val="5FF222E3"/>
    <w:rsid w:val="6000033A"/>
    <w:rsid w:val="60027EFF"/>
    <w:rsid w:val="60037C62"/>
    <w:rsid w:val="60044239"/>
    <w:rsid w:val="60046F92"/>
    <w:rsid w:val="600701DA"/>
    <w:rsid w:val="600F4B6C"/>
    <w:rsid w:val="60100E47"/>
    <w:rsid w:val="60197072"/>
    <w:rsid w:val="602052CE"/>
    <w:rsid w:val="60213F09"/>
    <w:rsid w:val="60227BE9"/>
    <w:rsid w:val="602B4734"/>
    <w:rsid w:val="602C48FC"/>
    <w:rsid w:val="60353D2F"/>
    <w:rsid w:val="603B7570"/>
    <w:rsid w:val="6040673E"/>
    <w:rsid w:val="60477AC1"/>
    <w:rsid w:val="604C79B3"/>
    <w:rsid w:val="6052690E"/>
    <w:rsid w:val="605E3A6F"/>
    <w:rsid w:val="60637345"/>
    <w:rsid w:val="60653190"/>
    <w:rsid w:val="6068029B"/>
    <w:rsid w:val="606D0C38"/>
    <w:rsid w:val="607078E4"/>
    <w:rsid w:val="607128D6"/>
    <w:rsid w:val="6072009A"/>
    <w:rsid w:val="60735F17"/>
    <w:rsid w:val="607D4310"/>
    <w:rsid w:val="60815760"/>
    <w:rsid w:val="60850BD8"/>
    <w:rsid w:val="608A6C40"/>
    <w:rsid w:val="60900ECB"/>
    <w:rsid w:val="60905B87"/>
    <w:rsid w:val="6091461D"/>
    <w:rsid w:val="609472EC"/>
    <w:rsid w:val="60A01CCA"/>
    <w:rsid w:val="60A173DC"/>
    <w:rsid w:val="60A27C28"/>
    <w:rsid w:val="60A37617"/>
    <w:rsid w:val="60A73560"/>
    <w:rsid w:val="60AA401A"/>
    <w:rsid w:val="60B135B4"/>
    <w:rsid w:val="60B35995"/>
    <w:rsid w:val="60BB17BB"/>
    <w:rsid w:val="60BE0AB9"/>
    <w:rsid w:val="60BE7E6B"/>
    <w:rsid w:val="60C109E8"/>
    <w:rsid w:val="60C90034"/>
    <w:rsid w:val="60CD5128"/>
    <w:rsid w:val="60D60E10"/>
    <w:rsid w:val="60DA6751"/>
    <w:rsid w:val="60E16331"/>
    <w:rsid w:val="60E328E6"/>
    <w:rsid w:val="60E3757A"/>
    <w:rsid w:val="60E42244"/>
    <w:rsid w:val="60E971F9"/>
    <w:rsid w:val="60EB2E22"/>
    <w:rsid w:val="60EC7B7D"/>
    <w:rsid w:val="60F07E94"/>
    <w:rsid w:val="60F22255"/>
    <w:rsid w:val="60F266C2"/>
    <w:rsid w:val="60F54DA5"/>
    <w:rsid w:val="60FA25AE"/>
    <w:rsid w:val="60FA2F15"/>
    <w:rsid w:val="61013A25"/>
    <w:rsid w:val="61053721"/>
    <w:rsid w:val="6112356D"/>
    <w:rsid w:val="612B1D4D"/>
    <w:rsid w:val="612D7159"/>
    <w:rsid w:val="61393C22"/>
    <w:rsid w:val="613B48B3"/>
    <w:rsid w:val="613C1AD6"/>
    <w:rsid w:val="613D21F7"/>
    <w:rsid w:val="613E1B75"/>
    <w:rsid w:val="613F1D21"/>
    <w:rsid w:val="61406A42"/>
    <w:rsid w:val="61413607"/>
    <w:rsid w:val="61476C95"/>
    <w:rsid w:val="61483060"/>
    <w:rsid w:val="614836A5"/>
    <w:rsid w:val="614A2A0C"/>
    <w:rsid w:val="614A2CCA"/>
    <w:rsid w:val="614A691E"/>
    <w:rsid w:val="614C319C"/>
    <w:rsid w:val="614F0478"/>
    <w:rsid w:val="61516451"/>
    <w:rsid w:val="61551180"/>
    <w:rsid w:val="617B3A98"/>
    <w:rsid w:val="617C1913"/>
    <w:rsid w:val="61802EA0"/>
    <w:rsid w:val="61810C3C"/>
    <w:rsid w:val="618D2E01"/>
    <w:rsid w:val="618F25F7"/>
    <w:rsid w:val="6199665E"/>
    <w:rsid w:val="619A3853"/>
    <w:rsid w:val="61AA3AC0"/>
    <w:rsid w:val="61B368B9"/>
    <w:rsid w:val="61B4384C"/>
    <w:rsid w:val="61BC4E26"/>
    <w:rsid w:val="61BD5AEF"/>
    <w:rsid w:val="61BF4957"/>
    <w:rsid w:val="61C262B7"/>
    <w:rsid w:val="61CA060B"/>
    <w:rsid w:val="61CD6E06"/>
    <w:rsid w:val="61D154A6"/>
    <w:rsid w:val="61D63C25"/>
    <w:rsid w:val="61D72155"/>
    <w:rsid w:val="61D72B7A"/>
    <w:rsid w:val="61E86073"/>
    <w:rsid w:val="61E93781"/>
    <w:rsid w:val="61EA3A19"/>
    <w:rsid w:val="61EA75EB"/>
    <w:rsid w:val="61ED20C1"/>
    <w:rsid w:val="61F82810"/>
    <w:rsid w:val="61FC441A"/>
    <w:rsid w:val="61FF11D7"/>
    <w:rsid w:val="620E3A1E"/>
    <w:rsid w:val="62110EFE"/>
    <w:rsid w:val="62115930"/>
    <w:rsid w:val="621510A6"/>
    <w:rsid w:val="621B6C4F"/>
    <w:rsid w:val="621C590E"/>
    <w:rsid w:val="622005D8"/>
    <w:rsid w:val="622258B5"/>
    <w:rsid w:val="6223711C"/>
    <w:rsid w:val="622872BB"/>
    <w:rsid w:val="6229599A"/>
    <w:rsid w:val="62303A81"/>
    <w:rsid w:val="62417B2C"/>
    <w:rsid w:val="62526B88"/>
    <w:rsid w:val="625677A1"/>
    <w:rsid w:val="62686007"/>
    <w:rsid w:val="6269611F"/>
    <w:rsid w:val="62717DF7"/>
    <w:rsid w:val="62737661"/>
    <w:rsid w:val="627A41FF"/>
    <w:rsid w:val="628B1EB3"/>
    <w:rsid w:val="629038C3"/>
    <w:rsid w:val="629224B7"/>
    <w:rsid w:val="629378AA"/>
    <w:rsid w:val="62942574"/>
    <w:rsid w:val="629504D4"/>
    <w:rsid w:val="62970CEB"/>
    <w:rsid w:val="629B703C"/>
    <w:rsid w:val="62AF739E"/>
    <w:rsid w:val="62B23745"/>
    <w:rsid w:val="62B66907"/>
    <w:rsid w:val="62B74240"/>
    <w:rsid w:val="62C412B8"/>
    <w:rsid w:val="62C602E8"/>
    <w:rsid w:val="62CA4503"/>
    <w:rsid w:val="62CB2839"/>
    <w:rsid w:val="62CE2861"/>
    <w:rsid w:val="62D825FC"/>
    <w:rsid w:val="62DA1366"/>
    <w:rsid w:val="62DC77A5"/>
    <w:rsid w:val="62E41877"/>
    <w:rsid w:val="62E45918"/>
    <w:rsid w:val="62E51508"/>
    <w:rsid w:val="62E77AE6"/>
    <w:rsid w:val="62E90826"/>
    <w:rsid w:val="62E92FD7"/>
    <w:rsid w:val="62EC0D6C"/>
    <w:rsid w:val="62EE3C8A"/>
    <w:rsid w:val="62F21533"/>
    <w:rsid w:val="62F560C9"/>
    <w:rsid w:val="62FB7631"/>
    <w:rsid w:val="630655C8"/>
    <w:rsid w:val="630828BB"/>
    <w:rsid w:val="63117352"/>
    <w:rsid w:val="631F0CDD"/>
    <w:rsid w:val="631F3E9A"/>
    <w:rsid w:val="6321535F"/>
    <w:rsid w:val="63227E0F"/>
    <w:rsid w:val="63294DB6"/>
    <w:rsid w:val="63363ED0"/>
    <w:rsid w:val="634458B7"/>
    <w:rsid w:val="63452397"/>
    <w:rsid w:val="6346164D"/>
    <w:rsid w:val="634967FE"/>
    <w:rsid w:val="634A43EC"/>
    <w:rsid w:val="634D3243"/>
    <w:rsid w:val="634E77EB"/>
    <w:rsid w:val="635B3DED"/>
    <w:rsid w:val="635C58A7"/>
    <w:rsid w:val="635F1407"/>
    <w:rsid w:val="636460AB"/>
    <w:rsid w:val="63694E4B"/>
    <w:rsid w:val="636C3E11"/>
    <w:rsid w:val="63720532"/>
    <w:rsid w:val="63787D17"/>
    <w:rsid w:val="637E592B"/>
    <w:rsid w:val="637F0712"/>
    <w:rsid w:val="63815D19"/>
    <w:rsid w:val="63836E7E"/>
    <w:rsid w:val="638971D7"/>
    <w:rsid w:val="638A6C54"/>
    <w:rsid w:val="638F407A"/>
    <w:rsid w:val="6392628F"/>
    <w:rsid w:val="639378B9"/>
    <w:rsid w:val="63957349"/>
    <w:rsid w:val="63981791"/>
    <w:rsid w:val="639B0EBA"/>
    <w:rsid w:val="63A13081"/>
    <w:rsid w:val="63AB45FC"/>
    <w:rsid w:val="63AD4866"/>
    <w:rsid w:val="63B35DD1"/>
    <w:rsid w:val="63B80936"/>
    <w:rsid w:val="63BC1DDB"/>
    <w:rsid w:val="63BC7EEF"/>
    <w:rsid w:val="63C20629"/>
    <w:rsid w:val="63C23E80"/>
    <w:rsid w:val="63D52BD8"/>
    <w:rsid w:val="63E17ABF"/>
    <w:rsid w:val="63E328D2"/>
    <w:rsid w:val="63EB3A89"/>
    <w:rsid w:val="63F118A1"/>
    <w:rsid w:val="63F67B83"/>
    <w:rsid w:val="63F76B3C"/>
    <w:rsid w:val="63FA25A4"/>
    <w:rsid w:val="640241FC"/>
    <w:rsid w:val="6405113B"/>
    <w:rsid w:val="640905CF"/>
    <w:rsid w:val="640C4539"/>
    <w:rsid w:val="641014A5"/>
    <w:rsid w:val="64103F3C"/>
    <w:rsid w:val="64110459"/>
    <w:rsid w:val="64177777"/>
    <w:rsid w:val="641D4C1D"/>
    <w:rsid w:val="64200134"/>
    <w:rsid w:val="64215E05"/>
    <w:rsid w:val="6422562B"/>
    <w:rsid w:val="64292DB6"/>
    <w:rsid w:val="64296932"/>
    <w:rsid w:val="642E441F"/>
    <w:rsid w:val="64304274"/>
    <w:rsid w:val="64341CEE"/>
    <w:rsid w:val="643951F1"/>
    <w:rsid w:val="64395EAF"/>
    <w:rsid w:val="643E4996"/>
    <w:rsid w:val="64473EA5"/>
    <w:rsid w:val="644D3DF8"/>
    <w:rsid w:val="64505410"/>
    <w:rsid w:val="64520B6B"/>
    <w:rsid w:val="64520D8C"/>
    <w:rsid w:val="64591C5F"/>
    <w:rsid w:val="645A4F4B"/>
    <w:rsid w:val="645B31B1"/>
    <w:rsid w:val="645F4193"/>
    <w:rsid w:val="6467056B"/>
    <w:rsid w:val="646D33D3"/>
    <w:rsid w:val="646E0F75"/>
    <w:rsid w:val="646F56F1"/>
    <w:rsid w:val="647074E1"/>
    <w:rsid w:val="647C5D89"/>
    <w:rsid w:val="647D4AC0"/>
    <w:rsid w:val="647E66B6"/>
    <w:rsid w:val="6482412B"/>
    <w:rsid w:val="648246AC"/>
    <w:rsid w:val="648401AD"/>
    <w:rsid w:val="648E40F5"/>
    <w:rsid w:val="64960DD9"/>
    <w:rsid w:val="649D593A"/>
    <w:rsid w:val="64A01270"/>
    <w:rsid w:val="64A8004B"/>
    <w:rsid w:val="64AD7ABE"/>
    <w:rsid w:val="64B03431"/>
    <w:rsid w:val="64C16210"/>
    <w:rsid w:val="64C21741"/>
    <w:rsid w:val="64C45A2F"/>
    <w:rsid w:val="64CC5B44"/>
    <w:rsid w:val="64CC71D5"/>
    <w:rsid w:val="64D05B19"/>
    <w:rsid w:val="64D23515"/>
    <w:rsid w:val="64D366A9"/>
    <w:rsid w:val="64D7229C"/>
    <w:rsid w:val="64D74843"/>
    <w:rsid w:val="64DB7301"/>
    <w:rsid w:val="64E05612"/>
    <w:rsid w:val="64E2115E"/>
    <w:rsid w:val="64E37120"/>
    <w:rsid w:val="64E44869"/>
    <w:rsid w:val="64EE45D6"/>
    <w:rsid w:val="64F17F4E"/>
    <w:rsid w:val="64FC0999"/>
    <w:rsid w:val="64FF3616"/>
    <w:rsid w:val="6518150B"/>
    <w:rsid w:val="651861AA"/>
    <w:rsid w:val="651B0C97"/>
    <w:rsid w:val="651D5D4B"/>
    <w:rsid w:val="6523205F"/>
    <w:rsid w:val="65233097"/>
    <w:rsid w:val="65233B6C"/>
    <w:rsid w:val="65252BC5"/>
    <w:rsid w:val="652619E8"/>
    <w:rsid w:val="652D7E12"/>
    <w:rsid w:val="65305397"/>
    <w:rsid w:val="65312B45"/>
    <w:rsid w:val="653172C7"/>
    <w:rsid w:val="65355722"/>
    <w:rsid w:val="65384FDC"/>
    <w:rsid w:val="65385E5C"/>
    <w:rsid w:val="65393196"/>
    <w:rsid w:val="65395E1C"/>
    <w:rsid w:val="653A1F09"/>
    <w:rsid w:val="653A337F"/>
    <w:rsid w:val="653D5B62"/>
    <w:rsid w:val="65474A31"/>
    <w:rsid w:val="65480FBA"/>
    <w:rsid w:val="654C4D88"/>
    <w:rsid w:val="655238A0"/>
    <w:rsid w:val="65596CA7"/>
    <w:rsid w:val="655B1235"/>
    <w:rsid w:val="655D5A93"/>
    <w:rsid w:val="655E2C9A"/>
    <w:rsid w:val="656077FF"/>
    <w:rsid w:val="65674B97"/>
    <w:rsid w:val="656A64A4"/>
    <w:rsid w:val="656C0DAD"/>
    <w:rsid w:val="65701167"/>
    <w:rsid w:val="657B23F3"/>
    <w:rsid w:val="657B3D8F"/>
    <w:rsid w:val="657D2404"/>
    <w:rsid w:val="65855815"/>
    <w:rsid w:val="65883B2D"/>
    <w:rsid w:val="6593370D"/>
    <w:rsid w:val="65951BF4"/>
    <w:rsid w:val="65956517"/>
    <w:rsid w:val="65973795"/>
    <w:rsid w:val="659B2D3B"/>
    <w:rsid w:val="65A0491A"/>
    <w:rsid w:val="65A5145C"/>
    <w:rsid w:val="65A5458C"/>
    <w:rsid w:val="65B67055"/>
    <w:rsid w:val="65B8590C"/>
    <w:rsid w:val="65BB0F16"/>
    <w:rsid w:val="65BF5045"/>
    <w:rsid w:val="65C01752"/>
    <w:rsid w:val="65C018CB"/>
    <w:rsid w:val="65C0740C"/>
    <w:rsid w:val="65C21945"/>
    <w:rsid w:val="65C302E3"/>
    <w:rsid w:val="65C3177A"/>
    <w:rsid w:val="65C55D87"/>
    <w:rsid w:val="65C62469"/>
    <w:rsid w:val="65CD0AE9"/>
    <w:rsid w:val="65D22D20"/>
    <w:rsid w:val="65D427ED"/>
    <w:rsid w:val="65D65551"/>
    <w:rsid w:val="65E02843"/>
    <w:rsid w:val="65E078C3"/>
    <w:rsid w:val="65E2736D"/>
    <w:rsid w:val="65E7216E"/>
    <w:rsid w:val="65E8080D"/>
    <w:rsid w:val="65F724A6"/>
    <w:rsid w:val="66100B18"/>
    <w:rsid w:val="66142BAE"/>
    <w:rsid w:val="661742DC"/>
    <w:rsid w:val="661D4969"/>
    <w:rsid w:val="661D4F04"/>
    <w:rsid w:val="661D75DC"/>
    <w:rsid w:val="66213596"/>
    <w:rsid w:val="662630F5"/>
    <w:rsid w:val="6628244B"/>
    <w:rsid w:val="66292579"/>
    <w:rsid w:val="663217AB"/>
    <w:rsid w:val="66325D91"/>
    <w:rsid w:val="66342E3C"/>
    <w:rsid w:val="66364629"/>
    <w:rsid w:val="6636622F"/>
    <w:rsid w:val="66370035"/>
    <w:rsid w:val="663B6E7D"/>
    <w:rsid w:val="664D1FE7"/>
    <w:rsid w:val="664D784B"/>
    <w:rsid w:val="665000C9"/>
    <w:rsid w:val="66522D4A"/>
    <w:rsid w:val="66536AD4"/>
    <w:rsid w:val="665D49B9"/>
    <w:rsid w:val="666070B5"/>
    <w:rsid w:val="66635810"/>
    <w:rsid w:val="6665699A"/>
    <w:rsid w:val="666D5FBC"/>
    <w:rsid w:val="666F59E1"/>
    <w:rsid w:val="667072CA"/>
    <w:rsid w:val="66731BD8"/>
    <w:rsid w:val="66742264"/>
    <w:rsid w:val="66742D5C"/>
    <w:rsid w:val="667830DE"/>
    <w:rsid w:val="66785DBF"/>
    <w:rsid w:val="667A6ABE"/>
    <w:rsid w:val="667A6CDD"/>
    <w:rsid w:val="667F6FCF"/>
    <w:rsid w:val="66821403"/>
    <w:rsid w:val="6689242C"/>
    <w:rsid w:val="6695558A"/>
    <w:rsid w:val="669A48FE"/>
    <w:rsid w:val="669F2759"/>
    <w:rsid w:val="66BE0858"/>
    <w:rsid w:val="66BE2B3F"/>
    <w:rsid w:val="66C36CF5"/>
    <w:rsid w:val="66C40557"/>
    <w:rsid w:val="66C63690"/>
    <w:rsid w:val="66C93762"/>
    <w:rsid w:val="66CD2C24"/>
    <w:rsid w:val="66D12FEB"/>
    <w:rsid w:val="66D3322B"/>
    <w:rsid w:val="66D51995"/>
    <w:rsid w:val="66D72DCE"/>
    <w:rsid w:val="66D848CF"/>
    <w:rsid w:val="66DD6CB7"/>
    <w:rsid w:val="66DE4860"/>
    <w:rsid w:val="66E32DD4"/>
    <w:rsid w:val="66E33685"/>
    <w:rsid w:val="66E47B97"/>
    <w:rsid w:val="66E51863"/>
    <w:rsid w:val="66E5588C"/>
    <w:rsid w:val="66F553C1"/>
    <w:rsid w:val="66F65841"/>
    <w:rsid w:val="66F71D82"/>
    <w:rsid w:val="66FC5A2F"/>
    <w:rsid w:val="66FD6E91"/>
    <w:rsid w:val="66FE1A48"/>
    <w:rsid w:val="670406FC"/>
    <w:rsid w:val="670454A0"/>
    <w:rsid w:val="670A5884"/>
    <w:rsid w:val="670D5B04"/>
    <w:rsid w:val="67106727"/>
    <w:rsid w:val="67123190"/>
    <w:rsid w:val="67135C4E"/>
    <w:rsid w:val="67154005"/>
    <w:rsid w:val="671D14CA"/>
    <w:rsid w:val="671E147F"/>
    <w:rsid w:val="671F2CAA"/>
    <w:rsid w:val="67265C71"/>
    <w:rsid w:val="672708B8"/>
    <w:rsid w:val="672843BF"/>
    <w:rsid w:val="672E3298"/>
    <w:rsid w:val="6731263D"/>
    <w:rsid w:val="67366BCC"/>
    <w:rsid w:val="673A27FB"/>
    <w:rsid w:val="673F768F"/>
    <w:rsid w:val="67470ABF"/>
    <w:rsid w:val="67561324"/>
    <w:rsid w:val="675757F8"/>
    <w:rsid w:val="675779C4"/>
    <w:rsid w:val="67674052"/>
    <w:rsid w:val="676C119C"/>
    <w:rsid w:val="676D0FBC"/>
    <w:rsid w:val="676D2835"/>
    <w:rsid w:val="6771796E"/>
    <w:rsid w:val="677E0EBE"/>
    <w:rsid w:val="677F123E"/>
    <w:rsid w:val="677F696F"/>
    <w:rsid w:val="678162DB"/>
    <w:rsid w:val="67905567"/>
    <w:rsid w:val="679606D9"/>
    <w:rsid w:val="679854F9"/>
    <w:rsid w:val="6799385B"/>
    <w:rsid w:val="679957AB"/>
    <w:rsid w:val="67A66BC3"/>
    <w:rsid w:val="67AB2A53"/>
    <w:rsid w:val="67B07557"/>
    <w:rsid w:val="67B3578B"/>
    <w:rsid w:val="67B47487"/>
    <w:rsid w:val="67B60DD9"/>
    <w:rsid w:val="67B9408D"/>
    <w:rsid w:val="67C1742E"/>
    <w:rsid w:val="67C20B61"/>
    <w:rsid w:val="67C25C5B"/>
    <w:rsid w:val="67C41EAA"/>
    <w:rsid w:val="67DB2587"/>
    <w:rsid w:val="67E06AA9"/>
    <w:rsid w:val="67EB7BF4"/>
    <w:rsid w:val="67F37EEB"/>
    <w:rsid w:val="67F4268C"/>
    <w:rsid w:val="67F53FAD"/>
    <w:rsid w:val="67FA1F25"/>
    <w:rsid w:val="68063A2B"/>
    <w:rsid w:val="680E377F"/>
    <w:rsid w:val="68126678"/>
    <w:rsid w:val="681A599B"/>
    <w:rsid w:val="68217AEA"/>
    <w:rsid w:val="68222DE3"/>
    <w:rsid w:val="6825207C"/>
    <w:rsid w:val="68263C86"/>
    <w:rsid w:val="682E58E0"/>
    <w:rsid w:val="683307EB"/>
    <w:rsid w:val="68335C9E"/>
    <w:rsid w:val="6834269F"/>
    <w:rsid w:val="683535FE"/>
    <w:rsid w:val="68357559"/>
    <w:rsid w:val="68374FE5"/>
    <w:rsid w:val="683763A8"/>
    <w:rsid w:val="68405947"/>
    <w:rsid w:val="68452903"/>
    <w:rsid w:val="68494580"/>
    <w:rsid w:val="684E572C"/>
    <w:rsid w:val="684F220D"/>
    <w:rsid w:val="6850653D"/>
    <w:rsid w:val="685549DF"/>
    <w:rsid w:val="685A1925"/>
    <w:rsid w:val="685B6ABD"/>
    <w:rsid w:val="68621707"/>
    <w:rsid w:val="6863202F"/>
    <w:rsid w:val="68641F2F"/>
    <w:rsid w:val="686A67CA"/>
    <w:rsid w:val="687F3BF2"/>
    <w:rsid w:val="688A5B0C"/>
    <w:rsid w:val="688F3C46"/>
    <w:rsid w:val="68994D27"/>
    <w:rsid w:val="689E129F"/>
    <w:rsid w:val="68A153C0"/>
    <w:rsid w:val="68AB10EA"/>
    <w:rsid w:val="68AD7AD6"/>
    <w:rsid w:val="68B4583A"/>
    <w:rsid w:val="68B80F27"/>
    <w:rsid w:val="68C56548"/>
    <w:rsid w:val="68CB4707"/>
    <w:rsid w:val="68D30924"/>
    <w:rsid w:val="68D348B4"/>
    <w:rsid w:val="68D474FF"/>
    <w:rsid w:val="68D50B24"/>
    <w:rsid w:val="68DA6368"/>
    <w:rsid w:val="68DD54D6"/>
    <w:rsid w:val="68E139F2"/>
    <w:rsid w:val="68E46533"/>
    <w:rsid w:val="68EA7125"/>
    <w:rsid w:val="68EE66C7"/>
    <w:rsid w:val="68F63D6B"/>
    <w:rsid w:val="68F714E3"/>
    <w:rsid w:val="68FB39BC"/>
    <w:rsid w:val="69025660"/>
    <w:rsid w:val="690622D1"/>
    <w:rsid w:val="69097DC5"/>
    <w:rsid w:val="690A05EE"/>
    <w:rsid w:val="690A0E8D"/>
    <w:rsid w:val="691044B9"/>
    <w:rsid w:val="69121A8F"/>
    <w:rsid w:val="69134AD9"/>
    <w:rsid w:val="6916621F"/>
    <w:rsid w:val="69193703"/>
    <w:rsid w:val="692054B2"/>
    <w:rsid w:val="69307076"/>
    <w:rsid w:val="6937471C"/>
    <w:rsid w:val="69397C29"/>
    <w:rsid w:val="693A6328"/>
    <w:rsid w:val="69415546"/>
    <w:rsid w:val="6942232C"/>
    <w:rsid w:val="694245CC"/>
    <w:rsid w:val="694B036D"/>
    <w:rsid w:val="69516520"/>
    <w:rsid w:val="69546176"/>
    <w:rsid w:val="69561F8E"/>
    <w:rsid w:val="6959755F"/>
    <w:rsid w:val="695A26B3"/>
    <w:rsid w:val="696245C4"/>
    <w:rsid w:val="69687809"/>
    <w:rsid w:val="696F0EAE"/>
    <w:rsid w:val="69777F8E"/>
    <w:rsid w:val="69783DC0"/>
    <w:rsid w:val="697F70FB"/>
    <w:rsid w:val="698F374A"/>
    <w:rsid w:val="6990749B"/>
    <w:rsid w:val="6991107C"/>
    <w:rsid w:val="6991356F"/>
    <w:rsid w:val="69953336"/>
    <w:rsid w:val="699E1EE1"/>
    <w:rsid w:val="69A62DAB"/>
    <w:rsid w:val="69B67E32"/>
    <w:rsid w:val="69B9741B"/>
    <w:rsid w:val="69BA6DE1"/>
    <w:rsid w:val="69BB5050"/>
    <w:rsid w:val="69BC5FFB"/>
    <w:rsid w:val="69BD27C1"/>
    <w:rsid w:val="69CA224F"/>
    <w:rsid w:val="69CF2C8F"/>
    <w:rsid w:val="69DC790F"/>
    <w:rsid w:val="69DF47FA"/>
    <w:rsid w:val="69E3314B"/>
    <w:rsid w:val="69E96BBC"/>
    <w:rsid w:val="69EE0BAD"/>
    <w:rsid w:val="69EF4484"/>
    <w:rsid w:val="69F467A0"/>
    <w:rsid w:val="69FA243D"/>
    <w:rsid w:val="69FA36D6"/>
    <w:rsid w:val="69FD78DF"/>
    <w:rsid w:val="6A042F24"/>
    <w:rsid w:val="6A080279"/>
    <w:rsid w:val="6A0D249D"/>
    <w:rsid w:val="6A104800"/>
    <w:rsid w:val="6A126AE6"/>
    <w:rsid w:val="6A1372D0"/>
    <w:rsid w:val="6A1418A2"/>
    <w:rsid w:val="6A196D68"/>
    <w:rsid w:val="6A203FCF"/>
    <w:rsid w:val="6A2411E7"/>
    <w:rsid w:val="6A2521B2"/>
    <w:rsid w:val="6A262693"/>
    <w:rsid w:val="6A265C71"/>
    <w:rsid w:val="6A300A29"/>
    <w:rsid w:val="6A333DB0"/>
    <w:rsid w:val="6A342F2A"/>
    <w:rsid w:val="6A391074"/>
    <w:rsid w:val="6A501D23"/>
    <w:rsid w:val="6A502876"/>
    <w:rsid w:val="6A555F89"/>
    <w:rsid w:val="6A570E5A"/>
    <w:rsid w:val="6A576378"/>
    <w:rsid w:val="6A5A21BF"/>
    <w:rsid w:val="6A5A7DC8"/>
    <w:rsid w:val="6A6A02F2"/>
    <w:rsid w:val="6A6B1343"/>
    <w:rsid w:val="6A6C2B9C"/>
    <w:rsid w:val="6A764E25"/>
    <w:rsid w:val="6A786CB3"/>
    <w:rsid w:val="6A797B58"/>
    <w:rsid w:val="6A7F3A43"/>
    <w:rsid w:val="6A8301E8"/>
    <w:rsid w:val="6A8646E9"/>
    <w:rsid w:val="6A880708"/>
    <w:rsid w:val="6A894635"/>
    <w:rsid w:val="6A8D6A8F"/>
    <w:rsid w:val="6A8F7FE2"/>
    <w:rsid w:val="6A9007A2"/>
    <w:rsid w:val="6A977402"/>
    <w:rsid w:val="6A9A715B"/>
    <w:rsid w:val="6A9D2622"/>
    <w:rsid w:val="6AA05D31"/>
    <w:rsid w:val="6AA351AA"/>
    <w:rsid w:val="6AA4014B"/>
    <w:rsid w:val="6AA53D47"/>
    <w:rsid w:val="6AB03B22"/>
    <w:rsid w:val="6AB574CA"/>
    <w:rsid w:val="6AB7353F"/>
    <w:rsid w:val="6AB7467D"/>
    <w:rsid w:val="6AB826F8"/>
    <w:rsid w:val="6ABB31EB"/>
    <w:rsid w:val="6ABE05DE"/>
    <w:rsid w:val="6ABE59B4"/>
    <w:rsid w:val="6AC05B2B"/>
    <w:rsid w:val="6AC80D35"/>
    <w:rsid w:val="6AC92EAF"/>
    <w:rsid w:val="6ACD0EA2"/>
    <w:rsid w:val="6ACE1FC1"/>
    <w:rsid w:val="6AD10E29"/>
    <w:rsid w:val="6AD64ED4"/>
    <w:rsid w:val="6ADF3198"/>
    <w:rsid w:val="6AE0669B"/>
    <w:rsid w:val="6AE40D0C"/>
    <w:rsid w:val="6AE87EEB"/>
    <w:rsid w:val="6AEC0BAE"/>
    <w:rsid w:val="6AED29AF"/>
    <w:rsid w:val="6AF2130D"/>
    <w:rsid w:val="6AF219D7"/>
    <w:rsid w:val="6AF31B53"/>
    <w:rsid w:val="6AF62285"/>
    <w:rsid w:val="6AF92816"/>
    <w:rsid w:val="6AFF44B6"/>
    <w:rsid w:val="6B0A068A"/>
    <w:rsid w:val="6B124287"/>
    <w:rsid w:val="6B1D414C"/>
    <w:rsid w:val="6B1E08FB"/>
    <w:rsid w:val="6B212108"/>
    <w:rsid w:val="6B233AA7"/>
    <w:rsid w:val="6B2E10AC"/>
    <w:rsid w:val="6B393189"/>
    <w:rsid w:val="6B404E1A"/>
    <w:rsid w:val="6B405C92"/>
    <w:rsid w:val="6B42323A"/>
    <w:rsid w:val="6B4448C8"/>
    <w:rsid w:val="6B4A1AE2"/>
    <w:rsid w:val="6B4F26F5"/>
    <w:rsid w:val="6B5314BB"/>
    <w:rsid w:val="6B556E35"/>
    <w:rsid w:val="6B565447"/>
    <w:rsid w:val="6B575730"/>
    <w:rsid w:val="6B5F1FA7"/>
    <w:rsid w:val="6B674878"/>
    <w:rsid w:val="6B6B4F6D"/>
    <w:rsid w:val="6B6C1A63"/>
    <w:rsid w:val="6B6D2F13"/>
    <w:rsid w:val="6B7162A7"/>
    <w:rsid w:val="6B7250C7"/>
    <w:rsid w:val="6B7A6C9D"/>
    <w:rsid w:val="6B7F2079"/>
    <w:rsid w:val="6B8117E1"/>
    <w:rsid w:val="6B863937"/>
    <w:rsid w:val="6B894BDD"/>
    <w:rsid w:val="6B8A770B"/>
    <w:rsid w:val="6B976B2C"/>
    <w:rsid w:val="6B977824"/>
    <w:rsid w:val="6B984010"/>
    <w:rsid w:val="6BA44203"/>
    <w:rsid w:val="6BA45DBE"/>
    <w:rsid w:val="6BAF04E3"/>
    <w:rsid w:val="6BB64783"/>
    <w:rsid w:val="6BBC2F28"/>
    <w:rsid w:val="6BCB362D"/>
    <w:rsid w:val="6BCD3D80"/>
    <w:rsid w:val="6BD102DF"/>
    <w:rsid w:val="6BD6312B"/>
    <w:rsid w:val="6BD92884"/>
    <w:rsid w:val="6BD93A2E"/>
    <w:rsid w:val="6BE33A96"/>
    <w:rsid w:val="6BE56C47"/>
    <w:rsid w:val="6BF10C57"/>
    <w:rsid w:val="6BF17012"/>
    <w:rsid w:val="6BF33EA4"/>
    <w:rsid w:val="6BF53DE7"/>
    <w:rsid w:val="6BF73FB9"/>
    <w:rsid w:val="6BFC1A5C"/>
    <w:rsid w:val="6C03770C"/>
    <w:rsid w:val="6C0970AB"/>
    <w:rsid w:val="6C0E18D7"/>
    <w:rsid w:val="6C0F10FC"/>
    <w:rsid w:val="6C123E31"/>
    <w:rsid w:val="6C1504D0"/>
    <w:rsid w:val="6C2044C6"/>
    <w:rsid w:val="6C2304FC"/>
    <w:rsid w:val="6C263B87"/>
    <w:rsid w:val="6C2817A1"/>
    <w:rsid w:val="6C290597"/>
    <w:rsid w:val="6C294D1C"/>
    <w:rsid w:val="6C2E3711"/>
    <w:rsid w:val="6C2F0E90"/>
    <w:rsid w:val="6C2F1210"/>
    <w:rsid w:val="6C39374E"/>
    <w:rsid w:val="6C420CE6"/>
    <w:rsid w:val="6C4365B2"/>
    <w:rsid w:val="6C4437A1"/>
    <w:rsid w:val="6C482034"/>
    <w:rsid w:val="6C4A290C"/>
    <w:rsid w:val="6C517D25"/>
    <w:rsid w:val="6C54624B"/>
    <w:rsid w:val="6C663344"/>
    <w:rsid w:val="6C6C4FEA"/>
    <w:rsid w:val="6C741700"/>
    <w:rsid w:val="6C7C42C4"/>
    <w:rsid w:val="6C85761A"/>
    <w:rsid w:val="6C8644E3"/>
    <w:rsid w:val="6C866960"/>
    <w:rsid w:val="6C8F17FE"/>
    <w:rsid w:val="6C957571"/>
    <w:rsid w:val="6C9F3ED2"/>
    <w:rsid w:val="6CAC2622"/>
    <w:rsid w:val="6CAD1CDF"/>
    <w:rsid w:val="6CAD2537"/>
    <w:rsid w:val="6CAE21EC"/>
    <w:rsid w:val="6CAF692E"/>
    <w:rsid w:val="6CB83067"/>
    <w:rsid w:val="6CBA21DE"/>
    <w:rsid w:val="6CD872B0"/>
    <w:rsid w:val="6CE72AEC"/>
    <w:rsid w:val="6CF3497E"/>
    <w:rsid w:val="6CFE367A"/>
    <w:rsid w:val="6CFF6885"/>
    <w:rsid w:val="6D036ECA"/>
    <w:rsid w:val="6D041549"/>
    <w:rsid w:val="6D080E1A"/>
    <w:rsid w:val="6D122DEB"/>
    <w:rsid w:val="6D126321"/>
    <w:rsid w:val="6D200C55"/>
    <w:rsid w:val="6D204608"/>
    <w:rsid w:val="6D223992"/>
    <w:rsid w:val="6D2432C6"/>
    <w:rsid w:val="6D266528"/>
    <w:rsid w:val="6D2E7143"/>
    <w:rsid w:val="6D385F30"/>
    <w:rsid w:val="6D3D7C85"/>
    <w:rsid w:val="6D4060E9"/>
    <w:rsid w:val="6D411064"/>
    <w:rsid w:val="6D4566DC"/>
    <w:rsid w:val="6D517762"/>
    <w:rsid w:val="6D540066"/>
    <w:rsid w:val="6D545508"/>
    <w:rsid w:val="6D5A4D68"/>
    <w:rsid w:val="6D5C591F"/>
    <w:rsid w:val="6D5D0E99"/>
    <w:rsid w:val="6D5E6030"/>
    <w:rsid w:val="6D616BF1"/>
    <w:rsid w:val="6D65121D"/>
    <w:rsid w:val="6D656852"/>
    <w:rsid w:val="6D6A76A1"/>
    <w:rsid w:val="6D6C6A57"/>
    <w:rsid w:val="6D722D15"/>
    <w:rsid w:val="6D791F28"/>
    <w:rsid w:val="6D7C0679"/>
    <w:rsid w:val="6D89532F"/>
    <w:rsid w:val="6D8A5731"/>
    <w:rsid w:val="6D901782"/>
    <w:rsid w:val="6D950F35"/>
    <w:rsid w:val="6D9709D8"/>
    <w:rsid w:val="6DA204C1"/>
    <w:rsid w:val="6DA65970"/>
    <w:rsid w:val="6DA76B0D"/>
    <w:rsid w:val="6DAC6A2E"/>
    <w:rsid w:val="6DB45C5C"/>
    <w:rsid w:val="6DC25167"/>
    <w:rsid w:val="6DC25F9E"/>
    <w:rsid w:val="6DC67E08"/>
    <w:rsid w:val="6DCD3BBE"/>
    <w:rsid w:val="6DD20B84"/>
    <w:rsid w:val="6DD338FE"/>
    <w:rsid w:val="6DD43B8A"/>
    <w:rsid w:val="6DD7508B"/>
    <w:rsid w:val="6DDD0B00"/>
    <w:rsid w:val="6DEB0165"/>
    <w:rsid w:val="6DEF5D61"/>
    <w:rsid w:val="6DF95C6A"/>
    <w:rsid w:val="6DF968C1"/>
    <w:rsid w:val="6DFC752C"/>
    <w:rsid w:val="6E0077B8"/>
    <w:rsid w:val="6E021D6B"/>
    <w:rsid w:val="6E08086B"/>
    <w:rsid w:val="6E165E93"/>
    <w:rsid w:val="6E196440"/>
    <w:rsid w:val="6E1F06B0"/>
    <w:rsid w:val="6E21624C"/>
    <w:rsid w:val="6E2318AB"/>
    <w:rsid w:val="6E2C2C82"/>
    <w:rsid w:val="6E324E74"/>
    <w:rsid w:val="6E3277B5"/>
    <w:rsid w:val="6E334FF0"/>
    <w:rsid w:val="6E3A0FEB"/>
    <w:rsid w:val="6E3C7361"/>
    <w:rsid w:val="6E3D644B"/>
    <w:rsid w:val="6E43070C"/>
    <w:rsid w:val="6E49452A"/>
    <w:rsid w:val="6E4B2FFE"/>
    <w:rsid w:val="6E4B7803"/>
    <w:rsid w:val="6E4C0695"/>
    <w:rsid w:val="6E4D4D3D"/>
    <w:rsid w:val="6E5737F6"/>
    <w:rsid w:val="6E575727"/>
    <w:rsid w:val="6E577519"/>
    <w:rsid w:val="6E5A7ACD"/>
    <w:rsid w:val="6E643338"/>
    <w:rsid w:val="6E692295"/>
    <w:rsid w:val="6E6A2A04"/>
    <w:rsid w:val="6E6C15EB"/>
    <w:rsid w:val="6E6F47F1"/>
    <w:rsid w:val="6E6F6B53"/>
    <w:rsid w:val="6E803FB8"/>
    <w:rsid w:val="6E896C63"/>
    <w:rsid w:val="6E8A065A"/>
    <w:rsid w:val="6E90059B"/>
    <w:rsid w:val="6E9051B3"/>
    <w:rsid w:val="6E931720"/>
    <w:rsid w:val="6E9720DE"/>
    <w:rsid w:val="6E9C29EA"/>
    <w:rsid w:val="6EA02ED5"/>
    <w:rsid w:val="6EA279D1"/>
    <w:rsid w:val="6EA5267F"/>
    <w:rsid w:val="6EAA660E"/>
    <w:rsid w:val="6EAD2DF0"/>
    <w:rsid w:val="6EAD505D"/>
    <w:rsid w:val="6EAE491F"/>
    <w:rsid w:val="6EB2067F"/>
    <w:rsid w:val="6EB40D1E"/>
    <w:rsid w:val="6EBC0AA2"/>
    <w:rsid w:val="6EBE71B6"/>
    <w:rsid w:val="6EC10FA0"/>
    <w:rsid w:val="6EC16954"/>
    <w:rsid w:val="6EC771F8"/>
    <w:rsid w:val="6ED96F6C"/>
    <w:rsid w:val="6EDA266E"/>
    <w:rsid w:val="6EDC1CC2"/>
    <w:rsid w:val="6EDE376E"/>
    <w:rsid w:val="6EE41930"/>
    <w:rsid w:val="6EE55846"/>
    <w:rsid w:val="6EE725C4"/>
    <w:rsid w:val="6EF06EC2"/>
    <w:rsid w:val="6EF56872"/>
    <w:rsid w:val="6EF86347"/>
    <w:rsid w:val="6EFC7DFF"/>
    <w:rsid w:val="6EFF3FCC"/>
    <w:rsid w:val="6EFF7C63"/>
    <w:rsid w:val="6F0A46E1"/>
    <w:rsid w:val="6F163EE0"/>
    <w:rsid w:val="6F166BAD"/>
    <w:rsid w:val="6F1E6C91"/>
    <w:rsid w:val="6F20384D"/>
    <w:rsid w:val="6F21667D"/>
    <w:rsid w:val="6F221207"/>
    <w:rsid w:val="6F23503F"/>
    <w:rsid w:val="6F2419D6"/>
    <w:rsid w:val="6F2420EA"/>
    <w:rsid w:val="6F2763F4"/>
    <w:rsid w:val="6F29734B"/>
    <w:rsid w:val="6F2C045F"/>
    <w:rsid w:val="6F2D49B6"/>
    <w:rsid w:val="6F2E6013"/>
    <w:rsid w:val="6F340FA8"/>
    <w:rsid w:val="6F3618AA"/>
    <w:rsid w:val="6F3C307D"/>
    <w:rsid w:val="6F3E166C"/>
    <w:rsid w:val="6F450010"/>
    <w:rsid w:val="6F4A3107"/>
    <w:rsid w:val="6F5252D8"/>
    <w:rsid w:val="6F574FF8"/>
    <w:rsid w:val="6F5A32B6"/>
    <w:rsid w:val="6F64231B"/>
    <w:rsid w:val="6F6431FA"/>
    <w:rsid w:val="6F662B49"/>
    <w:rsid w:val="6F6C17AD"/>
    <w:rsid w:val="6F7C7F30"/>
    <w:rsid w:val="6F7D4A1A"/>
    <w:rsid w:val="6F7F6829"/>
    <w:rsid w:val="6F7F7F6B"/>
    <w:rsid w:val="6F814E14"/>
    <w:rsid w:val="6F84329C"/>
    <w:rsid w:val="6F847FBF"/>
    <w:rsid w:val="6F863E61"/>
    <w:rsid w:val="6F8B5905"/>
    <w:rsid w:val="6F8D7F9D"/>
    <w:rsid w:val="6F8E03B6"/>
    <w:rsid w:val="6F8E6A78"/>
    <w:rsid w:val="6F994B12"/>
    <w:rsid w:val="6F9D6D63"/>
    <w:rsid w:val="6F9F29C3"/>
    <w:rsid w:val="6FA14384"/>
    <w:rsid w:val="6FAA5903"/>
    <w:rsid w:val="6FAB311E"/>
    <w:rsid w:val="6FAC4003"/>
    <w:rsid w:val="6FAD281F"/>
    <w:rsid w:val="6FB0106F"/>
    <w:rsid w:val="6FB06BF9"/>
    <w:rsid w:val="6FB32118"/>
    <w:rsid w:val="6FB654CB"/>
    <w:rsid w:val="6FB916BC"/>
    <w:rsid w:val="6FC0312E"/>
    <w:rsid w:val="6FC44737"/>
    <w:rsid w:val="6FC95169"/>
    <w:rsid w:val="6FC95260"/>
    <w:rsid w:val="6FCF7299"/>
    <w:rsid w:val="6FD410CA"/>
    <w:rsid w:val="6FD564E4"/>
    <w:rsid w:val="6FD76592"/>
    <w:rsid w:val="6FD92ADA"/>
    <w:rsid w:val="6FDE0738"/>
    <w:rsid w:val="6FE40A77"/>
    <w:rsid w:val="6FE67C35"/>
    <w:rsid w:val="6FE77C24"/>
    <w:rsid w:val="6FE80988"/>
    <w:rsid w:val="6FEA0D91"/>
    <w:rsid w:val="6FEA5E08"/>
    <w:rsid w:val="6FF07080"/>
    <w:rsid w:val="6FF26B9F"/>
    <w:rsid w:val="6FF61273"/>
    <w:rsid w:val="6FF710EE"/>
    <w:rsid w:val="6FFB4CCD"/>
    <w:rsid w:val="6FFB739B"/>
    <w:rsid w:val="70093085"/>
    <w:rsid w:val="700B1D27"/>
    <w:rsid w:val="700D6FE2"/>
    <w:rsid w:val="700F1139"/>
    <w:rsid w:val="70141CB9"/>
    <w:rsid w:val="70181156"/>
    <w:rsid w:val="701D0B56"/>
    <w:rsid w:val="70234ABD"/>
    <w:rsid w:val="7024216F"/>
    <w:rsid w:val="7026742D"/>
    <w:rsid w:val="702A7031"/>
    <w:rsid w:val="702B60E4"/>
    <w:rsid w:val="702C6DA9"/>
    <w:rsid w:val="702F5B06"/>
    <w:rsid w:val="70305410"/>
    <w:rsid w:val="703577B0"/>
    <w:rsid w:val="70372930"/>
    <w:rsid w:val="703D1F03"/>
    <w:rsid w:val="703E53A5"/>
    <w:rsid w:val="70420037"/>
    <w:rsid w:val="70473170"/>
    <w:rsid w:val="70474287"/>
    <w:rsid w:val="704D612B"/>
    <w:rsid w:val="70521F12"/>
    <w:rsid w:val="70530FED"/>
    <w:rsid w:val="705B11C0"/>
    <w:rsid w:val="705B3995"/>
    <w:rsid w:val="705B59B2"/>
    <w:rsid w:val="70620B32"/>
    <w:rsid w:val="70630C54"/>
    <w:rsid w:val="70665051"/>
    <w:rsid w:val="70676830"/>
    <w:rsid w:val="706C4FD5"/>
    <w:rsid w:val="707358AF"/>
    <w:rsid w:val="707A4F75"/>
    <w:rsid w:val="707D0CAD"/>
    <w:rsid w:val="707F185B"/>
    <w:rsid w:val="707F197B"/>
    <w:rsid w:val="70877E89"/>
    <w:rsid w:val="708841C6"/>
    <w:rsid w:val="708D44BD"/>
    <w:rsid w:val="708D55CD"/>
    <w:rsid w:val="70942948"/>
    <w:rsid w:val="70962365"/>
    <w:rsid w:val="709E3DF7"/>
    <w:rsid w:val="70A21034"/>
    <w:rsid w:val="70AD7E2F"/>
    <w:rsid w:val="70B276F2"/>
    <w:rsid w:val="70B3136A"/>
    <w:rsid w:val="70B408B5"/>
    <w:rsid w:val="70B772FC"/>
    <w:rsid w:val="70BD2FA5"/>
    <w:rsid w:val="70C41E2C"/>
    <w:rsid w:val="70C743CC"/>
    <w:rsid w:val="70C8446C"/>
    <w:rsid w:val="70CE4118"/>
    <w:rsid w:val="70D42EF3"/>
    <w:rsid w:val="70D86D67"/>
    <w:rsid w:val="70DA0547"/>
    <w:rsid w:val="70E16824"/>
    <w:rsid w:val="70E32B74"/>
    <w:rsid w:val="70E576A5"/>
    <w:rsid w:val="70E87B68"/>
    <w:rsid w:val="70EB2BF8"/>
    <w:rsid w:val="70EC0E7F"/>
    <w:rsid w:val="70F33231"/>
    <w:rsid w:val="70FF0E11"/>
    <w:rsid w:val="7100636E"/>
    <w:rsid w:val="710200F4"/>
    <w:rsid w:val="7102613B"/>
    <w:rsid w:val="71092A1C"/>
    <w:rsid w:val="710C5F70"/>
    <w:rsid w:val="71123325"/>
    <w:rsid w:val="7116562F"/>
    <w:rsid w:val="712B5C31"/>
    <w:rsid w:val="71355224"/>
    <w:rsid w:val="71380531"/>
    <w:rsid w:val="713A20A3"/>
    <w:rsid w:val="713A4BA4"/>
    <w:rsid w:val="713D0F4A"/>
    <w:rsid w:val="713F1968"/>
    <w:rsid w:val="71422C11"/>
    <w:rsid w:val="7153741B"/>
    <w:rsid w:val="71572C66"/>
    <w:rsid w:val="715952F3"/>
    <w:rsid w:val="715D4CCD"/>
    <w:rsid w:val="71611DAD"/>
    <w:rsid w:val="71664EE0"/>
    <w:rsid w:val="716760EC"/>
    <w:rsid w:val="716D3B5E"/>
    <w:rsid w:val="716F1AEC"/>
    <w:rsid w:val="71791276"/>
    <w:rsid w:val="71797EC8"/>
    <w:rsid w:val="717A650B"/>
    <w:rsid w:val="717C10BF"/>
    <w:rsid w:val="717C50B9"/>
    <w:rsid w:val="717C5C8E"/>
    <w:rsid w:val="717E27E3"/>
    <w:rsid w:val="718933B3"/>
    <w:rsid w:val="718B2101"/>
    <w:rsid w:val="71905E85"/>
    <w:rsid w:val="71966832"/>
    <w:rsid w:val="71976230"/>
    <w:rsid w:val="71991C9F"/>
    <w:rsid w:val="719B07BE"/>
    <w:rsid w:val="71A10AF2"/>
    <w:rsid w:val="71A479C2"/>
    <w:rsid w:val="71A550A3"/>
    <w:rsid w:val="71B8274F"/>
    <w:rsid w:val="71B95F03"/>
    <w:rsid w:val="71BA1E24"/>
    <w:rsid w:val="71BE1FEC"/>
    <w:rsid w:val="71C73C3E"/>
    <w:rsid w:val="71CD4DF4"/>
    <w:rsid w:val="71D27B46"/>
    <w:rsid w:val="71D61791"/>
    <w:rsid w:val="71E33DF5"/>
    <w:rsid w:val="71E72CA6"/>
    <w:rsid w:val="71E83987"/>
    <w:rsid w:val="71EB61AD"/>
    <w:rsid w:val="71EC631C"/>
    <w:rsid w:val="71EE2643"/>
    <w:rsid w:val="71EF3329"/>
    <w:rsid w:val="71EF72F7"/>
    <w:rsid w:val="71F036DC"/>
    <w:rsid w:val="71F13E4F"/>
    <w:rsid w:val="71F73ECF"/>
    <w:rsid w:val="71F845CA"/>
    <w:rsid w:val="71FB3656"/>
    <w:rsid w:val="71FD1690"/>
    <w:rsid w:val="72043DCB"/>
    <w:rsid w:val="72143855"/>
    <w:rsid w:val="72157C38"/>
    <w:rsid w:val="721D5A50"/>
    <w:rsid w:val="721E4668"/>
    <w:rsid w:val="721F0E9E"/>
    <w:rsid w:val="72230ABA"/>
    <w:rsid w:val="72242C09"/>
    <w:rsid w:val="722D0B33"/>
    <w:rsid w:val="7232046A"/>
    <w:rsid w:val="72461494"/>
    <w:rsid w:val="72496E8E"/>
    <w:rsid w:val="724A7AE7"/>
    <w:rsid w:val="724C0097"/>
    <w:rsid w:val="724F539A"/>
    <w:rsid w:val="725400E0"/>
    <w:rsid w:val="726129E0"/>
    <w:rsid w:val="72647566"/>
    <w:rsid w:val="7266753F"/>
    <w:rsid w:val="72695EC9"/>
    <w:rsid w:val="7275546A"/>
    <w:rsid w:val="72756C2A"/>
    <w:rsid w:val="72787F57"/>
    <w:rsid w:val="72795EC0"/>
    <w:rsid w:val="727F1EC5"/>
    <w:rsid w:val="72801CB3"/>
    <w:rsid w:val="728213EA"/>
    <w:rsid w:val="72847EFB"/>
    <w:rsid w:val="7290148D"/>
    <w:rsid w:val="72906881"/>
    <w:rsid w:val="729142C2"/>
    <w:rsid w:val="72952FCF"/>
    <w:rsid w:val="729813E3"/>
    <w:rsid w:val="729A5FA5"/>
    <w:rsid w:val="729A65D1"/>
    <w:rsid w:val="729E5242"/>
    <w:rsid w:val="729E6F60"/>
    <w:rsid w:val="72A278BE"/>
    <w:rsid w:val="72A31E41"/>
    <w:rsid w:val="72A7797C"/>
    <w:rsid w:val="72AA6166"/>
    <w:rsid w:val="72AE3FE2"/>
    <w:rsid w:val="72AF2B52"/>
    <w:rsid w:val="72B30FDD"/>
    <w:rsid w:val="72B3204F"/>
    <w:rsid w:val="72B353C1"/>
    <w:rsid w:val="72BA2FE7"/>
    <w:rsid w:val="72BC606F"/>
    <w:rsid w:val="72BC7E9E"/>
    <w:rsid w:val="72BE517A"/>
    <w:rsid w:val="72C77E23"/>
    <w:rsid w:val="72CB0FEC"/>
    <w:rsid w:val="72CC4CB5"/>
    <w:rsid w:val="72CD2C92"/>
    <w:rsid w:val="72CE3CB9"/>
    <w:rsid w:val="72D425F4"/>
    <w:rsid w:val="72DB7C8D"/>
    <w:rsid w:val="72E17A0C"/>
    <w:rsid w:val="72E326A2"/>
    <w:rsid w:val="72E439F0"/>
    <w:rsid w:val="72F10A94"/>
    <w:rsid w:val="72F1505E"/>
    <w:rsid w:val="72F3432B"/>
    <w:rsid w:val="72F62A28"/>
    <w:rsid w:val="72FF0126"/>
    <w:rsid w:val="72FF3416"/>
    <w:rsid w:val="73014C60"/>
    <w:rsid w:val="73053993"/>
    <w:rsid w:val="73060C20"/>
    <w:rsid w:val="730A2398"/>
    <w:rsid w:val="7319085E"/>
    <w:rsid w:val="73190E1F"/>
    <w:rsid w:val="731B05F6"/>
    <w:rsid w:val="731D7769"/>
    <w:rsid w:val="73224D96"/>
    <w:rsid w:val="7329508E"/>
    <w:rsid w:val="732B5E47"/>
    <w:rsid w:val="732E3386"/>
    <w:rsid w:val="732F1BB0"/>
    <w:rsid w:val="7331587F"/>
    <w:rsid w:val="73331B40"/>
    <w:rsid w:val="73367EFB"/>
    <w:rsid w:val="733C16BA"/>
    <w:rsid w:val="73431978"/>
    <w:rsid w:val="734331B9"/>
    <w:rsid w:val="73444F19"/>
    <w:rsid w:val="73567DB5"/>
    <w:rsid w:val="735727A0"/>
    <w:rsid w:val="73581D55"/>
    <w:rsid w:val="735B2A42"/>
    <w:rsid w:val="735B2CA1"/>
    <w:rsid w:val="735E510D"/>
    <w:rsid w:val="7366187D"/>
    <w:rsid w:val="736A135F"/>
    <w:rsid w:val="736A3990"/>
    <w:rsid w:val="736F5847"/>
    <w:rsid w:val="737B02DE"/>
    <w:rsid w:val="737D6501"/>
    <w:rsid w:val="73846110"/>
    <w:rsid w:val="738D6987"/>
    <w:rsid w:val="738F3197"/>
    <w:rsid w:val="7393738F"/>
    <w:rsid w:val="73993336"/>
    <w:rsid w:val="73A3299C"/>
    <w:rsid w:val="73A5237C"/>
    <w:rsid w:val="73AA4D8E"/>
    <w:rsid w:val="73B42D5D"/>
    <w:rsid w:val="73B80D95"/>
    <w:rsid w:val="73B857C8"/>
    <w:rsid w:val="73BB63A9"/>
    <w:rsid w:val="73BC64C4"/>
    <w:rsid w:val="73D44EEC"/>
    <w:rsid w:val="73DA1C59"/>
    <w:rsid w:val="73DB3D8E"/>
    <w:rsid w:val="73E5455E"/>
    <w:rsid w:val="73EF4A57"/>
    <w:rsid w:val="73F24E6E"/>
    <w:rsid w:val="73FB1AD8"/>
    <w:rsid w:val="73FF4CC8"/>
    <w:rsid w:val="74050F62"/>
    <w:rsid w:val="74072435"/>
    <w:rsid w:val="740A5C75"/>
    <w:rsid w:val="740B1B74"/>
    <w:rsid w:val="741A7543"/>
    <w:rsid w:val="741F6346"/>
    <w:rsid w:val="74206EEB"/>
    <w:rsid w:val="742A6A35"/>
    <w:rsid w:val="742C6846"/>
    <w:rsid w:val="7430626D"/>
    <w:rsid w:val="74362E9A"/>
    <w:rsid w:val="74432DEC"/>
    <w:rsid w:val="74435428"/>
    <w:rsid w:val="7445227E"/>
    <w:rsid w:val="7447021D"/>
    <w:rsid w:val="74495BA9"/>
    <w:rsid w:val="744F4788"/>
    <w:rsid w:val="74575828"/>
    <w:rsid w:val="745958E1"/>
    <w:rsid w:val="745E4DE9"/>
    <w:rsid w:val="74625A89"/>
    <w:rsid w:val="746C6436"/>
    <w:rsid w:val="746E494F"/>
    <w:rsid w:val="74720860"/>
    <w:rsid w:val="74757105"/>
    <w:rsid w:val="747F7BB9"/>
    <w:rsid w:val="74804F56"/>
    <w:rsid w:val="748517E9"/>
    <w:rsid w:val="748C5D1D"/>
    <w:rsid w:val="748D5E58"/>
    <w:rsid w:val="749843A0"/>
    <w:rsid w:val="74A06CAF"/>
    <w:rsid w:val="74A70724"/>
    <w:rsid w:val="74A9159C"/>
    <w:rsid w:val="74A96C27"/>
    <w:rsid w:val="74AA1FE7"/>
    <w:rsid w:val="74AB51C7"/>
    <w:rsid w:val="74AF2170"/>
    <w:rsid w:val="74CA0ED2"/>
    <w:rsid w:val="74CE325B"/>
    <w:rsid w:val="74CE4C0D"/>
    <w:rsid w:val="74CF740B"/>
    <w:rsid w:val="74D33C23"/>
    <w:rsid w:val="74D609BF"/>
    <w:rsid w:val="74DA57EE"/>
    <w:rsid w:val="74DB79C9"/>
    <w:rsid w:val="74DE48D7"/>
    <w:rsid w:val="74DE7A35"/>
    <w:rsid w:val="74E16B8C"/>
    <w:rsid w:val="74E24DBA"/>
    <w:rsid w:val="74E94999"/>
    <w:rsid w:val="74EE7127"/>
    <w:rsid w:val="74F017BE"/>
    <w:rsid w:val="74F1457F"/>
    <w:rsid w:val="74F37B72"/>
    <w:rsid w:val="74F90192"/>
    <w:rsid w:val="74FE4ADA"/>
    <w:rsid w:val="75050077"/>
    <w:rsid w:val="7516709A"/>
    <w:rsid w:val="751C4D12"/>
    <w:rsid w:val="7524078B"/>
    <w:rsid w:val="752773E2"/>
    <w:rsid w:val="752D10D2"/>
    <w:rsid w:val="753707B7"/>
    <w:rsid w:val="753A1B93"/>
    <w:rsid w:val="754423EF"/>
    <w:rsid w:val="75450D22"/>
    <w:rsid w:val="75470DBE"/>
    <w:rsid w:val="754D5D25"/>
    <w:rsid w:val="754F0F15"/>
    <w:rsid w:val="75544E51"/>
    <w:rsid w:val="755478A6"/>
    <w:rsid w:val="7557112A"/>
    <w:rsid w:val="75625E66"/>
    <w:rsid w:val="75674B0F"/>
    <w:rsid w:val="756D00CB"/>
    <w:rsid w:val="756D13A5"/>
    <w:rsid w:val="756E0A20"/>
    <w:rsid w:val="756F45D1"/>
    <w:rsid w:val="75734213"/>
    <w:rsid w:val="757443C4"/>
    <w:rsid w:val="757554AA"/>
    <w:rsid w:val="75763D5D"/>
    <w:rsid w:val="7580784E"/>
    <w:rsid w:val="75872ED7"/>
    <w:rsid w:val="758B2484"/>
    <w:rsid w:val="758F6393"/>
    <w:rsid w:val="758F735D"/>
    <w:rsid w:val="75914744"/>
    <w:rsid w:val="75924273"/>
    <w:rsid w:val="759351E1"/>
    <w:rsid w:val="75961545"/>
    <w:rsid w:val="75A373BD"/>
    <w:rsid w:val="75A64633"/>
    <w:rsid w:val="75A75996"/>
    <w:rsid w:val="75A90E76"/>
    <w:rsid w:val="75AA220B"/>
    <w:rsid w:val="75AA4C40"/>
    <w:rsid w:val="75AF1A68"/>
    <w:rsid w:val="75B63820"/>
    <w:rsid w:val="75BB3172"/>
    <w:rsid w:val="75BC6C78"/>
    <w:rsid w:val="75BD7B03"/>
    <w:rsid w:val="75C331CC"/>
    <w:rsid w:val="75C64D7F"/>
    <w:rsid w:val="75CC586C"/>
    <w:rsid w:val="75CE3690"/>
    <w:rsid w:val="75CE66FA"/>
    <w:rsid w:val="75D2661B"/>
    <w:rsid w:val="75D42BB8"/>
    <w:rsid w:val="75D709EF"/>
    <w:rsid w:val="75E458CB"/>
    <w:rsid w:val="75E5698B"/>
    <w:rsid w:val="75ED635E"/>
    <w:rsid w:val="75EE25E0"/>
    <w:rsid w:val="75F22DE6"/>
    <w:rsid w:val="75F321C0"/>
    <w:rsid w:val="75F569E9"/>
    <w:rsid w:val="75F84214"/>
    <w:rsid w:val="75FC0FE3"/>
    <w:rsid w:val="76073B64"/>
    <w:rsid w:val="760D7621"/>
    <w:rsid w:val="76120184"/>
    <w:rsid w:val="761E0EFC"/>
    <w:rsid w:val="762201E1"/>
    <w:rsid w:val="762A300B"/>
    <w:rsid w:val="76307D25"/>
    <w:rsid w:val="763169E1"/>
    <w:rsid w:val="76395D6F"/>
    <w:rsid w:val="763C4D7B"/>
    <w:rsid w:val="76420B58"/>
    <w:rsid w:val="764440AD"/>
    <w:rsid w:val="76481968"/>
    <w:rsid w:val="764871A5"/>
    <w:rsid w:val="764B4742"/>
    <w:rsid w:val="764E14D5"/>
    <w:rsid w:val="76566387"/>
    <w:rsid w:val="76596612"/>
    <w:rsid w:val="765D5648"/>
    <w:rsid w:val="765E628F"/>
    <w:rsid w:val="7665238F"/>
    <w:rsid w:val="76653CA1"/>
    <w:rsid w:val="766D58A8"/>
    <w:rsid w:val="766D68A8"/>
    <w:rsid w:val="76720DCB"/>
    <w:rsid w:val="76736A64"/>
    <w:rsid w:val="76805144"/>
    <w:rsid w:val="76811C3E"/>
    <w:rsid w:val="76821B0F"/>
    <w:rsid w:val="768700AF"/>
    <w:rsid w:val="768D447D"/>
    <w:rsid w:val="768E4516"/>
    <w:rsid w:val="769000FC"/>
    <w:rsid w:val="76926A3C"/>
    <w:rsid w:val="76A130C7"/>
    <w:rsid w:val="76A570C9"/>
    <w:rsid w:val="76A6320F"/>
    <w:rsid w:val="76A66DA0"/>
    <w:rsid w:val="76A7317B"/>
    <w:rsid w:val="76A850CE"/>
    <w:rsid w:val="76AA14B4"/>
    <w:rsid w:val="76AE69E3"/>
    <w:rsid w:val="76AF7303"/>
    <w:rsid w:val="76AF7962"/>
    <w:rsid w:val="76B273D9"/>
    <w:rsid w:val="76C07EC8"/>
    <w:rsid w:val="76CF03C6"/>
    <w:rsid w:val="76D35504"/>
    <w:rsid w:val="76DA5A4E"/>
    <w:rsid w:val="76DC1C15"/>
    <w:rsid w:val="76E818D1"/>
    <w:rsid w:val="76EB67F8"/>
    <w:rsid w:val="76EF6979"/>
    <w:rsid w:val="76F17E8A"/>
    <w:rsid w:val="76F23E8D"/>
    <w:rsid w:val="76F26206"/>
    <w:rsid w:val="76F83626"/>
    <w:rsid w:val="76F86411"/>
    <w:rsid w:val="76FB6966"/>
    <w:rsid w:val="7700747B"/>
    <w:rsid w:val="77037ABC"/>
    <w:rsid w:val="7709320E"/>
    <w:rsid w:val="7709603A"/>
    <w:rsid w:val="77096C89"/>
    <w:rsid w:val="770F1CE0"/>
    <w:rsid w:val="77157C0C"/>
    <w:rsid w:val="77176C7A"/>
    <w:rsid w:val="771A3981"/>
    <w:rsid w:val="771E3C2F"/>
    <w:rsid w:val="77331FAB"/>
    <w:rsid w:val="77352DA2"/>
    <w:rsid w:val="77383DBA"/>
    <w:rsid w:val="773841B4"/>
    <w:rsid w:val="773A653F"/>
    <w:rsid w:val="77431D34"/>
    <w:rsid w:val="77451D30"/>
    <w:rsid w:val="774750AC"/>
    <w:rsid w:val="774F430B"/>
    <w:rsid w:val="77532307"/>
    <w:rsid w:val="77535140"/>
    <w:rsid w:val="7754056F"/>
    <w:rsid w:val="775568A6"/>
    <w:rsid w:val="775F6327"/>
    <w:rsid w:val="776D7A2F"/>
    <w:rsid w:val="77745E1A"/>
    <w:rsid w:val="777A535F"/>
    <w:rsid w:val="77861352"/>
    <w:rsid w:val="778B43A5"/>
    <w:rsid w:val="778B576A"/>
    <w:rsid w:val="779653D0"/>
    <w:rsid w:val="77970BAD"/>
    <w:rsid w:val="77A07B73"/>
    <w:rsid w:val="77B51167"/>
    <w:rsid w:val="77B93534"/>
    <w:rsid w:val="77BE33D7"/>
    <w:rsid w:val="77BE474A"/>
    <w:rsid w:val="77C764A6"/>
    <w:rsid w:val="77CB3FD3"/>
    <w:rsid w:val="77D155C2"/>
    <w:rsid w:val="77D6609C"/>
    <w:rsid w:val="77DE0002"/>
    <w:rsid w:val="77DF588B"/>
    <w:rsid w:val="77E30806"/>
    <w:rsid w:val="77E5486A"/>
    <w:rsid w:val="77EA2259"/>
    <w:rsid w:val="77EB6CB5"/>
    <w:rsid w:val="77EC6575"/>
    <w:rsid w:val="77ED73DF"/>
    <w:rsid w:val="77F401B3"/>
    <w:rsid w:val="77F908F3"/>
    <w:rsid w:val="77FF0334"/>
    <w:rsid w:val="78052865"/>
    <w:rsid w:val="780F2F55"/>
    <w:rsid w:val="78103358"/>
    <w:rsid w:val="78117080"/>
    <w:rsid w:val="78127BBC"/>
    <w:rsid w:val="78165025"/>
    <w:rsid w:val="7818371B"/>
    <w:rsid w:val="781E4CA1"/>
    <w:rsid w:val="782B1A59"/>
    <w:rsid w:val="783648C7"/>
    <w:rsid w:val="783D4843"/>
    <w:rsid w:val="783F2EBB"/>
    <w:rsid w:val="78417F82"/>
    <w:rsid w:val="78432452"/>
    <w:rsid w:val="78510283"/>
    <w:rsid w:val="78576E2C"/>
    <w:rsid w:val="785958C1"/>
    <w:rsid w:val="785A2594"/>
    <w:rsid w:val="785D7258"/>
    <w:rsid w:val="78615F49"/>
    <w:rsid w:val="7862457A"/>
    <w:rsid w:val="78670F7C"/>
    <w:rsid w:val="786D5CC7"/>
    <w:rsid w:val="786E4BDC"/>
    <w:rsid w:val="78717ED5"/>
    <w:rsid w:val="787B0D0E"/>
    <w:rsid w:val="787B2ED7"/>
    <w:rsid w:val="787C7623"/>
    <w:rsid w:val="787D55B0"/>
    <w:rsid w:val="78852EF8"/>
    <w:rsid w:val="78892E97"/>
    <w:rsid w:val="788B6831"/>
    <w:rsid w:val="789106A3"/>
    <w:rsid w:val="7893484F"/>
    <w:rsid w:val="78966B41"/>
    <w:rsid w:val="789C7454"/>
    <w:rsid w:val="789F4F0C"/>
    <w:rsid w:val="789F7D45"/>
    <w:rsid w:val="78A170D0"/>
    <w:rsid w:val="78A73444"/>
    <w:rsid w:val="78A95338"/>
    <w:rsid w:val="78A962FF"/>
    <w:rsid w:val="78B36587"/>
    <w:rsid w:val="78B7020F"/>
    <w:rsid w:val="78B8511A"/>
    <w:rsid w:val="78BB0FF8"/>
    <w:rsid w:val="78C1385B"/>
    <w:rsid w:val="78C415B4"/>
    <w:rsid w:val="78C44A83"/>
    <w:rsid w:val="78CA3733"/>
    <w:rsid w:val="78CC3831"/>
    <w:rsid w:val="78D11E6F"/>
    <w:rsid w:val="78D446D0"/>
    <w:rsid w:val="78D83837"/>
    <w:rsid w:val="78E3061B"/>
    <w:rsid w:val="78E930E3"/>
    <w:rsid w:val="78EA08C2"/>
    <w:rsid w:val="79013F2E"/>
    <w:rsid w:val="79074415"/>
    <w:rsid w:val="79110F3C"/>
    <w:rsid w:val="791554CC"/>
    <w:rsid w:val="791B383F"/>
    <w:rsid w:val="79236A1A"/>
    <w:rsid w:val="79313D00"/>
    <w:rsid w:val="7932166C"/>
    <w:rsid w:val="79322C9F"/>
    <w:rsid w:val="79371CB8"/>
    <w:rsid w:val="793B3485"/>
    <w:rsid w:val="793D1626"/>
    <w:rsid w:val="793E746B"/>
    <w:rsid w:val="793F3B06"/>
    <w:rsid w:val="794669F5"/>
    <w:rsid w:val="7947154B"/>
    <w:rsid w:val="794A49EB"/>
    <w:rsid w:val="79553B5B"/>
    <w:rsid w:val="79562862"/>
    <w:rsid w:val="795C0AD1"/>
    <w:rsid w:val="79646C83"/>
    <w:rsid w:val="796D07D5"/>
    <w:rsid w:val="79727FD4"/>
    <w:rsid w:val="79763365"/>
    <w:rsid w:val="797856D1"/>
    <w:rsid w:val="797A2AD5"/>
    <w:rsid w:val="79815A1B"/>
    <w:rsid w:val="798216B3"/>
    <w:rsid w:val="798274A5"/>
    <w:rsid w:val="79836E0B"/>
    <w:rsid w:val="79845811"/>
    <w:rsid w:val="79887A8A"/>
    <w:rsid w:val="798C36A4"/>
    <w:rsid w:val="79956DEE"/>
    <w:rsid w:val="79A70228"/>
    <w:rsid w:val="79A819D2"/>
    <w:rsid w:val="79BB2EF1"/>
    <w:rsid w:val="79C218EB"/>
    <w:rsid w:val="79C96ECB"/>
    <w:rsid w:val="79CA1689"/>
    <w:rsid w:val="79CA33C9"/>
    <w:rsid w:val="79CE201B"/>
    <w:rsid w:val="79CF5036"/>
    <w:rsid w:val="79D5791A"/>
    <w:rsid w:val="79D7275A"/>
    <w:rsid w:val="79DA49A6"/>
    <w:rsid w:val="79E4680C"/>
    <w:rsid w:val="79E47B18"/>
    <w:rsid w:val="79E51641"/>
    <w:rsid w:val="79EB1887"/>
    <w:rsid w:val="79EC0A5C"/>
    <w:rsid w:val="79ED6244"/>
    <w:rsid w:val="79EE2037"/>
    <w:rsid w:val="79F63019"/>
    <w:rsid w:val="79FB4A02"/>
    <w:rsid w:val="7A002BB2"/>
    <w:rsid w:val="7A06571F"/>
    <w:rsid w:val="7A10104D"/>
    <w:rsid w:val="7A137B49"/>
    <w:rsid w:val="7A1427D3"/>
    <w:rsid w:val="7A163FB9"/>
    <w:rsid w:val="7A190AB3"/>
    <w:rsid w:val="7A1B12D0"/>
    <w:rsid w:val="7A211450"/>
    <w:rsid w:val="7A23009E"/>
    <w:rsid w:val="7A29026C"/>
    <w:rsid w:val="7A2B71B3"/>
    <w:rsid w:val="7A3568CF"/>
    <w:rsid w:val="7A3D5163"/>
    <w:rsid w:val="7A416F45"/>
    <w:rsid w:val="7A476000"/>
    <w:rsid w:val="7A4D5CDA"/>
    <w:rsid w:val="7A4D6381"/>
    <w:rsid w:val="7A4E39F5"/>
    <w:rsid w:val="7A4F0E73"/>
    <w:rsid w:val="7A512076"/>
    <w:rsid w:val="7A5A2272"/>
    <w:rsid w:val="7A5D2C34"/>
    <w:rsid w:val="7A5E1DA6"/>
    <w:rsid w:val="7A5F3BC1"/>
    <w:rsid w:val="7A5F749B"/>
    <w:rsid w:val="7A5F7622"/>
    <w:rsid w:val="7A616A81"/>
    <w:rsid w:val="7A654F72"/>
    <w:rsid w:val="7A663382"/>
    <w:rsid w:val="7A666BC5"/>
    <w:rsid w:val="7A672E2B"/>
    <w:rsid w:val="7A695EDC"/>
    <w:rsid w:val="7A6D0D8F"/>
    <w:rsid w:val="7A6D1D63"/>
    <w:rsid w:val="7A6D5064"/>
    <w:rsid w:val="7A745616"/>
    <w:rsid w:val="7A7E757B"/>
    <w:rsid w:val="7A815E92"/>
    <w:rsid w:val="7A8640A3"/>
    <w:rsid w:val="7A865119"/>
    <w:rsid w:val="7A8D45F8"/>
    <w:rsid w:val="7A8F335A"/>
    <w:rsid w:val="7A923E69"/>
    <w:rsid w:val="7A986692"/>
    <w:rsid w:val="7AA4697B"/>
    <w:rsid w:val="7AAA2EDD"/>
    <w:rsid w:val="7AB066B9"/>
    <w:rsid w:val="7AB918A1"/>
    <w:rsid w:val="7ABB29F7"/>
    <w:rsid w:val="7ABF0256"/>
    <w:rsid w:val="7AC95094"/>
    <w:rsid w:val="7ACD689B"/>
    <w:rsid w:val="7ACF58C0"/>
    <w:rsid w:val="7AD85AB8"/>
    <w:rsid w:val="7ADE0376"/>
    <w:rsid w:val="7ADE499B"/>
    <w:rsid w:val="7ADF1188"/>
    <w:rsid w:val="7AE55302"/>
    <w:rsid w:val="7AF10053"/>
    <w:rsid w:val="7AF10CDF"/>
    <w:rsid w:val="7AF82932"/>
    <w:rsid w:val="7B0512CB"/>
    <w:rsid w:val="7B057D88"/>
    <w:rsid w:val="7B0C4CF9"/>
    <w:rsid w:val="7B0C6966"/>
    <w:rsid w:val="7B150D39"/>
    <w:rsid w:val="7B1718B1"/>
    <w:rsid w:val="7B2043AE"/>
    <w:rsid w:val="7B223C5E"/>
    <w:rsid w:val="7B230942"/>
    <w:rsid w:val="7B237F14"/>
    <w:rsid w:val="7B285CBA"/>
    <w:rsid w:val="7B295BD6"/>
    <w:rsid w:val="7B2B1357"/>
    <w:rsid w:val="7B2D5ED0"/>
    <w:rsid w:val="7B2E0458"/>
    <w:rsid w:val="7B3053AF"/>
    <w:rsid w:val="7B307D5D"/>
    <w:rsid w:val="7B3D42AE"/>
    <w:rsid w:val="7B420AFC"/>
    <w:rsid w:val="7B5502C7"/>
    <w:rsid w:val="7B5E1699"/>
    <w:rsid w:val="7B661FEA"/>
    <w:rsid w:val="7B6A7A19"/>
    <w:rsid w:val="7B6D1F7F"/>
    <w:rsid w:val="7B6E4244"/>
    <w:rsid w:val="7B6F7F1E"/>
    <w:rsid w:val="7B7313F5"/>
    <w:rsid w:val="7B78317E"/>
    <w:rsid w:val="7B795914"/>
    <w:rsid w:val="7B7B7919"/>
    <w:rsid w:val="7B7C1D00"/>
    <w:rsid w:val="7B7E316D"/>
    <w:rsid w:val="7B7F12B0"/>
    <w:rsid w:val="7B825937"/>
    <w:rsid w:val="7B826985"/>
    <w:rsid w:val="7BA007F6"/>
    <w:rsid w:val="7BA1058B"/>
    <w:rsid w:val="7BA17D56"/>
    <w:rsid w:val="7BA34823"/>
    <w:rsid w:val="7BA51B9F"/>
    <w:rsid w:val="7BA533A7"/>
    <w:rsid w:val="7BAF3C99"/>
    <w:rsid w:val="7BB13033"/>
    <w:rsid w:val="7BB378B4"/>
    <w:rsid w:val="7BB403B1"/>
    <w:rsid w:val="7BB828F1"/>
    <w:rsid w:val="7BBA2D1E"/>
    <w:rsid w:val="7BBB5F31"/>
    <w:rsid w:val="7BBE4C99"/>
    <w:rsid w:val="7BC33C38"/>
    <w:rsid w:val="7BC40E00"/>
    <w:rsid w:val="7BC47E57"/>
    <w:rsid w:val="7BCA277A"/>
    <w:rsid w:val="7BD112F8"/>
    <w:rsid w:val="7BD2085E"/>
    <w:rsid w:val="7BDD60B3"/>
    <w:rsid w:val="7BE11B78"/>
    <w:rsid w:val="7BE37F11"/>
    <w:rsid w:val="7BE75BF3"/>
    <w:rsid w:val="7BF11CC7"/>
    <w:rsid w:val="7BF42294"/>
    <w:rsid w:val="7BF80DE0"/>
    <w:rsid w:val="7BF81C6D"/>
    <w:rsid w:val="7BF86A57"/>
    <w:rsid w:val="7BFA5B7D"/>
    <w:rsid w:val="7BFC6D3F"/>
    <w:rsid w:val="7C04108A"/>
    <w:rsid w:val="7C067374"/>
    <w:rsid w:val="7C08708D"/>
    <w:rsid w:val="7C104AE8"/>
    <w:rsid w:val="7C122F0C"/>
    <w:rsid w:val="7C152E60"/>
    <w:rsid w:val="7C217DA4"/>
    <w:rsid w:val="7C255279"/>
    <w:rsid w:val="7C26511E"/>
    <w:rsid w:val="7C2E0B62"/>
    <w:rsid w:val="7C2E29DF"/>
    <w:rsid w:val="7C306FAB"/>
    <w:rsid w:val="7C390501"/>
    <w:rsid w:val="7C3D1FB4"/>
    <w:rsid w:val="7C3D3139"/>
    <w:rsid w:val="7C3D50F0"/>
    <w:rsid w:val="7C455182"/>
    <w:rsid w:val="7C470C63"/>
    <w:rsid w:val="7C4B7682"/>
    <w:rsid w:val="7C525E84"/>
    <w:rsid w:val="7C53444E"/>
    <w:rsid w:val="7C582539"/>
    <w:rsid w:val="7C5B2ACF"/>
    <w:rsid w:val="7C5D29D2"/>
    <w:rsid w:val="7C6149D5"/>
    <w:rsid w:val="7C66526D"/>
    <w:rsid w:val="7C764919"/>
    <w:rsid w:val="7C7A75E3"/>
    <w:rsid w:val="7C7B7CED"/>
    <w:rsid w:val="7C7C278B"/>
    <w:rsid w:val="7C89032C"/>
    <w:rsid w:val="7C8A213E"/>
    <w:rsid w:val="7C8A30A0"/>
    <w:rsid w:val="7C964569"/>
    <w:rsid w:val="7C966D6C"/>
    <w:rsid w:val="7C98735B"/>
    <w:rsid w:val="7C9B5B09"/>
    <w:rsid w:val="7CA10845"/>
    <w:rsid w:val="7CA23AB1"/>
    <w:rsid w:val="7CA871A6"/>
    <w:rsid w:val="7CA95287"/>
    <w:rsid w:val="7CAA5245"/>
    <w:rsid w:val="7CAA7FB2"/>
    <w:rsid w:val="7CAC602C"/>
    <w:rsid w:val="7CAE232F"/>
    <w:rsid w:val="7CAF6181"/>
    <w:rsid w:val="7CB079E7"/>
    <w:rsid w:val="7CB213F5"/>
    <w:rsid w:val="7CB739A0"/>
    <w:rsid w:val="7CBD4118"/>
    <w:rsid w:val="7CC10A0A"/>
    <w:rsid w:val="7CC23DC4"/>
    <w:rsid w:val="7CCC354F"/>
    <w:rsid w:val="7CD13C0B"/>
    <w:rsid w:val="7CD514A0"/>
    <w:rsid w:val="7CD60EA8"/>
    <w:rsid w:val="7CDA2AC5"/>
    <w:rsid w:val="7CDA3629"/>
    <w:rsid w:val="7CEA650B"/>
    <w:rsid w:val="7CEB4DFF"/>
    <w:rsid w:val="7CED7F27"/>
    <w:rsid w:val="7CF80572"/>
    <w:rsid w:val="7CFE3B1B"/>
    <w:rsid w:val="7D0003A4"/>
    <w:rsid w:val="7D005268"/>
    <w:rsid w:val="7D032FC2"/>
    <w:rsid w:val="7D063AAA"/>
    <w:rsid w:val="7D0675BE"/>
    <w:rsid w:val="7D0A2ACE"/>
    <w:rsid w:val="7D0B3844"/>
    <w:rsid w:val="7D0D55BB"/>
    <w:rsid w:val="7D0E48EA"/>
    <w:rsid w:val="7D141CB4"/>
    <w:rsid w:val="7D1F317D"/>
    <w:rsid w:val="7D24665A"/>
    <w:rsid w:val="7D252C88"/>
    <w:rsid w:val="7D26331E"/>
    <w:rsid w:val="7D26730A"/>
    <w:rsid w:val="7D287EBA"/>
    <w:rsid w:val="7D2E59A1"/>
    <w:rsid w:val="7D352176"/>
    <w:rsid w:val="7D373936"/>
    <w:rsid w:val="7D3D4A7B"/>
    <w:rsid w:val="7D41205B"/>
    <w:rsid w:val="7D4D76DC"/>
    <w:rsid w:val="7D5362F2"/>
    <w:rsid w:val="7D5C523A"/>
    <w:rsid w:val="7D5E2466"/>
    <w:rsid w:val="7D5E36A2"/>
    <w:rsid w:val="7D647B46"/>
    <w:rsid w:val="7D660E44"/>
    <w:rsid w:val="7D6B2A3E"/>
    <w:rsid w:val="7D726D24"/>
    <w:rsid w:val="7D781A75"/>
    <w:rsid w:val="7D793CF4"/>
    <w:rsid w:val="7D7E074A"/>
    <w:rsid w:val="7D7F5AF3"/>
    <w:rsid w:val="7D896CB1"/>
    <w:rsid w:val="7D8F5622"/>
    <w:rsid w:val="7D910FF2"/>
    <w:rsid w:val="7D913792"/>
    <w:rsid w:val="7D947DD8"/>
    <w:rsid w:val="7DA3481E"/>
    <w:rsid w:val="7DA70D4A"/>
    <w:rsid w:val="7DA75B21"/>
    <w:rsid w:val="7DAA0E20"/>
    <w:rsid w:val="7DB037AF"/>
    <w:rsid w:val="7DB141BF"/>
    <w:rsid w:val="7DB16FA9"/>
    <w:rsid w:val="7DB3669E"/>
    <w:rsid w:val="7DB63E31"/>
    <w:rsid w:val="7DBF18C2"/>
    <w:rsid w:val="7DC00668"/>
    <w:rsid w:val="7DC21CE5"/>
    <w:rsid w:val="7DC62468"/>
    <w:rsid w:val="7DD458EB"/>
    <w:rsid w:val="7DDC17CF"/>
    <w:rsid w:val="7DE033E4"/>
    <w:rsid w:val="7DE61FDC"/>
    <w:rsid w:val="7DEA3706"/>
    <w:rsid w:val="7DF0197B"/>
    <w:rsid w:val="7DF744A7"/>
    <w:rsid w:val="7DFC2E93"/>
    <w:rsid w:val="7E003AB7"/>
    <w:rsid w:val="7E0578F7"/>
    <w:rsid w:val="7E0854EE"/>
    <w:rsid w:val="7E10285F"/>
    <w:rsid w:val="7E1074F7"/>
    <w:rsid w:val="7E114E1F"/>
    <w:rsid w:val="7E157DCE"/>
    <w:rsid w:val="7E1F14C8"/>
    <w:rsid w:val="7E200C2D"/>
    <w:rsid w:val="7E2410EA"/>
    <w:rsid w:val="7E2834E2"/>
    <w:rsid w:val="7E2A563C"/>
    <w:rsid w:val="7E3526B1"/>
    <w:rsid w:val="7E3643CB"/>
    <w:rsid w:val="7E390CD1"/>
    <w:rsid w:val="7E3A7AFF"/>
    <w:rsid w:val="7E442B91"/>
    <w:rsid w:val="7E4471C4"/>
    <w:rsid w:val="7E4937E7"/>
    <w:rsid w:val="7E4B1C5A"/>
    <w:rsid w:val="7E4B35C2"/>
    <w:rsid w:val="7E512710"/>
    <w:rsid w:val="7E560AEF"/>
    <w:rsid w:val="7E5757AD"/>
    <w:rsid w:val="7E5B32B8"/>
    <w:rsid w:val="7E5E0A9D"/>
    <w:rsid w:val="7E631141"/>
    <w:rsid w:val="7E6452D6"/>
    <w:rsid w:val="7E647B2D"/>
    <w:rsid w:val="7E6763F7"/>
    <w:rsid w:val="7E6A30A3"/>
    <w:rsid w:val="7E7042D4"/>
    <w:rsid w:val="7E7879B3"/>
    <w:rsid w:val="7E7A16F8"/>
    <w:rsid w:val="7E7A495E"/>
    <w:rsid w:val="7E7A640A"/>
    <w:rsid w:val="7E7B4AB9"/>
    <w:rsid w:val="7E7B549D"/>
    <w:rsid w:val="7E7F6A46"/>
    <w:rsid w:val="7E8167B7"/>
    <w:rsid w:val="7E8642B7"/>
    <w:rsid w:val="7E865698"/>
    <w:rsid w:val="7E8741CE"/>
    <w:rsid w:val="7E904087"/>
    <w:rsid w:val="7E9117A8"/>
    <w:rsid w:val="7E917371"/>
    <w:rsid w:val="7E92772B"/>
    <w:rsid w:val="7E9D05CE"/>
    <w:rsid w:val="7E9D08A1"/>
    <w:rsid w:val="7E9D1D73"/>
    <w:rsid w:val="7EA638A8"/>
    <w:rsid w:val="7EA811B7"/>
    <w:rsid w:val="7EAB25CB"/>
    <w:rsid w:val="7EAB5B96"/>
    <w:rsid w:val="7EAD2CE2"/>
    <w:rsid w:val="7EAE20F7"/>
    <w:rsid w:val="7EAF3E2C"/>
    <w:rsid w:val="7EB15DBB"/>
    <w:rsid w:val="7EB1769A"/>
    <w:rsid w:val="7EB57DC6"/>
    <w:rsid w:val="7ECA359D"/>
    <w:rsid w:val="7ECA57F1"/>
    <w:rsid w:val="7ECF525F"/>
    <w:rsid w:val="7EDB6DD8"/>
    <w:rsid w:val="7EDF4493"/>
    <w:rsid w:val="7EE02254"/>
    <w:rsid w:val="7EE35A12"/>
    <w:rsid w:val="7EEC7AF2"/>
    <w:rsid w:val="7EF543E2"/>
    <w:rsid w:val="7EF7127B"/>
    <w:rsid w:val="7EFC6E89"/>
    <w:rsid w:val="7F022F06"/>
    <w:rsid w:val="7F0B0954"/>
    <w:rsid w:val="7F0C551E"/>
    <w:rsid w:val="7F137503"/>
    <w:rsid w:val="7F145F1D"/>
    <w:rsid w:val="7F1570C9"/>
    <w:rsid w:val="7F177346"/>
    <w:rsid w:val="7F1C079D"/>
    <w:rsid w:val="7F204629"/>
    <w:rsid w:val="7F2A1A0C"/>
    <w:rsid w:val="7F2B327A"/>
    <w:rsid w:val="7F2E356F"/>
    <w:rsid w:val="7F320F00"/>
    <w:rsid w:val="7F38409A"/>
    <w:rsid w:val="7F386F85"/>
    <w:rsid w:val="7F394572"/>
    <w:rsid w:val="7F3A29D8"/>
    <w:rsid w:val="7F3A47A0"/>
    <w:rsid w:val="7F412D0B"/>
    <w:rsid w:val="7F544688"/>
    <w:rsid w:val="7F5B367F"/>
    <w:rsid w:val="7F5F490A"/>
    <w:rsid w:val="7F6A5E2B"/>
    <w:rsid w:val="7F703D50"/>
    <w:rsid w:val="7F710870"/>
    <w:rsid w:val="7F7600E0"/>
    <w:rsid w:val="7F7A1837"/>
    <w:rsid w:val="7F832A67"/>
    <w:rsid w:val="7F844E22"/>
    <w:rsid w:val="7F863445"/>
    <w:rsid w:val="7F886F0C"/>
    <w:rsid w:val="7FAC32B0"/>
    <w:rsid w:val="7FAE7AFB"/>
    <w:rsid w:val="7FB06FFF"/>
    <w:rsid w:val="7FB27267"/>
    <w:rsid w:val="7FC12980"/>
    <w:rsid w:val="7FC7696A"/>
    <w:rsid w:val="7FCF4222"/>
    <w:rsid w:val="7FD672C0"/>
    <w:rsid w:val="7FD92D9A"/>
    <w:rsid w:val="7FDB2218"/>
    <w:rsid w:val="7FDC1185"/>
    <w:rsid w:val="7FDC72AA"/>
    <w:rsid w:val="7FDD265E"/>
    <w:rsid w:val="7FDF232B"/>
    <w:rsid w:val="7FDF6F8A"/>
    <w:rsid w:val="7FE17F7B"/>
    <w:rsid w:val="7FE46631"/>
    <w:rsid w:val="7FE57B4E"/>
    <w:rsid w:val="7FED5E1F"/>
    <w:rsid w:val="7FF84AC1"/>
    <w:rsid w:val="7FFB31E9"/>
    <w:rsid w:val="7FFF2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kern w:val="0"/>
      <w:sz w:val="27"/>
      <w:szCs w:val="27"/>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footnote text"/>
    <w:basedOn w:val="1"/>
    <w:qFormat/>
    <w:uiPriority w:val="0"/>
    <w:pPr>
      <w:snapToGrid w:val="0"/>
      <w:jc w:val="left"/>
    </w:pPr>
    <w:rPr>
      <w:sz w:val="18"/>
    </w:rPr>
  </w:style>
  <w:style w:type="paragraph" w:styleId="8">
    <w:name w:val="Normal (Web)"/>
    <w:basedOn w:val="1"/>
    <w:qFormat/>
    <w:uiPriority w:val="0"/>
    <w:pPr>
      <w:spacing w:beforeAutospacing="1" w:afterAutospacing="1"/>
      <w:jc w:val="left"/>
    </w:pPr>
    <w:rPr>
      <w:rFonts w:cs="Times New Roman"/>
      <w:kern w:val="0"/>
      <w:sz w:val="24"/>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FollowedHyperlink"/>
    <w:basedOn w:val="11"/>
    <w:qFormat/>
    <w:uiPriority w:val="0"/>
    <w:rPr>
      <w:color w:val="333333"/>
      <w:u w:val="none"/>
    </w:rPr>
  </w:style>
  <w:style w:type="character" w:styleId="14">
    <w:name w:val="Hyperlink"/>
    <w:basedOn w:val="11"/>
    <w:qFormat/>
    <w:uiPriority w:val="0"/>
    <w:rPr>
      <w:color w:val="333333"/>
      <w:u w:val="none"/>
    </w:rPr>
  </w:style>
  <w:style w:type="character" w:styleId="15">
    <w:name w:val="annotation reference"/>
    <w:semiHidden/>
    <w:qFormat/>
    <w:uiPriority w:val="0"/>
    <w:rPr>
      <w:sz w:val="21"/>
      <w:szCs w:val="21"/>
    </w:rPr>
  </w:style>
  <w:style w:type="character" w:styleId="16">
    <w:name w:val="footnote reference"/>
    <w:basedOn w:val="11"/>
    <w:qFormat/>
    <w:uiPriority w:val="0"/>
    <w:rPr>
      <w:vertAlign w:val="superscript"/>
    </w:rPr>
  </w:style>
  <w:style w:type="character" w:customStyle="1" w:styleId="17">
    <w:name w:val="bsharetext"/>
    <w:basedOn w:val="11"/>
    <w:qFormat/>
    <w:uiPriority w:val="0"/>
  </w:style>
  <w:style w:type="character" w:customStyle="1" w:styleId="18">
    <w:name w:val="fontstyle01"/>
    <w:basedOn w:val="11"/>
    <w:qFormat/>
    <w:uiPriority w:val="0"/>
    <w:rPr>
      <w:rFonts w:ascii="B3 + SimSun" w:hAnsi="B3 + SimSun" w:eastAsia="B3 + SimSun" w:cs="B3 + SimSun"/>
      <w:color w:val="444444"/>
      <w:sz w:val="20"/>
      <w:szCs w:val="20"/>
    </w:rPr>
  </w:style>
  <w:style w:type="character" w:customStyle="1" w:styleId="19">
    <w:name w:val="fontstyle21"/>
    <w:basedOn w:val="11"/>
    <w:qFormat/>
    <w:uiPriority w:val="0"/>
    <w:rPr>
      <w:rFonts w:ascii="B4 + CAJSymbolA" w:hAnsi="B4 + CAJSymbolA" w:eastAsia="B4 + CAJSymbolA" w:cs="B4 + CAJSymbolA"/>
      <w:color w:val="444444"/>
      <w:sz w:val="22"/>
      <w:szCs w:val="22"/>
    </w:rPr>
  </w:style>
  <w:style w:type="character" w:customStyle="1" w:styleId="20">
    <w:name w:val="fontstyle11"/>
    <w:basedOn w:val="11"/>
    <w:qFormat/>
    <w:uiPriority w:val="0"/>
    <w:rPr>
      <w:rFonts w:ascii="宋体" w:hAnsi="宋体" w:eastAsia="宋体" w:cs="宋体"/>
      <w:color w:val="000000"/>
      <w:sz w:val="22"/>
      <w:szCs w:val="22"/>
    </w:rPr>
  </w:style>
  <w:style w:type="character" w:customStyle="1" w:styleId="21">
    <w:name w:val="fontstyle31"/>
    <w:basedOn w:val="11"/>
    <w:qFormat/>
    <w:uiPriority w:val="0"/>
    <w:rPr>
      <w:rFonts w:ascii="KTJ + ZCDFMR-2" w:hAnsi="KTJ + ZCDFMR-2" w:eastAsia="KTJ + ZCDFMR-2" w:cs="KTJ + ZCDFMR-2"/>
      <w:color w:val="242021"/>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wmf"/><Relationship Id="rId8" Type="http://schemas.openxmlformats.org/officeDocument/2006/relationships/image" Target="media/image1.wmf"/><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5" Type="http://schemas.microsoft.com/office/2011/relationships/people" Target="people.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wmf"/><Relationship Id="rId10" Type="http://schemas.openxmlformats.org/officeDocument/2006/relationships/image" Target="media/image3.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7188</Words>
  <Characters>8459</Characters>
  <Lines>116</Lines>
  <Paragraphs>32</Paragraphs>
  <TotalTime>8</TotalTime>
  <ScaleCrop>false</ScaleCrop>
  <LinksUpToDate>false</LinksUpToDate>
  <CharactersWithSpaces>8681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2020-04-15T14:06:00Z</dcterms:created>
  <dc:creator>李梅</dc:creator>
  <cp:lastModifiedBy>XY</cp:lastModifiedBy>
  <dcterms:modified xsi:type="dcterms:W3CDTF">2025-06-13T05:12:30Z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B2905BBB250041C6AC02C88C4DAC4669</vt:lpwstr>
  </property>
  <property fmtid="{D5CDD505-2E9C-101B-9397-08002B2CF9AE}" pid="4" name="KSOTemplateDocerSaveRecord">
    <vt:lpwstr>eyJoZGlkIjoiOWE3MTg1NDc0NDNlYzc1NGE0MWU4Y2VlMDNmMzAxNzUiLCJ1c2VySWQiOiI1OTEwNjkxNDAifQ==</vt:lpwstr>
  </property>
</Properties>
</file>